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144ba7be9842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GVM Magazine's Best University: Tamkang Ranks First in Humanities &amp; Social Sciences among Private Schools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June 28th, Global Views Monthly (GVM) Magazine unveiled the 2023 'Taiwan's Best University Rankings,' categorizing the results into 'Comprehensive Universities,' 'Humanities and Social Sciences Universities,' 'Medical Universities,' 'Public Universities,' 'Private Universities,' 'Comprehensive Universities,' and 'Technical and Vocational Universities.' In the 'Humanities and Social Sciences Universities' category, our school ranked 3rd, sharing the same position as National Chung Cheng University, maintaining last year's excellent performance as the top private institution. The first and second places were taken by National Taiwan Normal University and National Chengchi University, respectively. Additionally, our school secured the 8th position in the private university category and the 18th position in the comprehensive university category.
</w:t>
          <w:br/>
          <w:t>This ranking is based on 6 main dimensions: 'Social Reputation,' 'Academic Achievements,' 'Teaching Performance,' 'Degree of Internationalization,' 'Industry-Academia Collaboration,' and 'Financial Health.' In the categories of 'Degree of Internationalization,' 'Academic Achievements,' and 'Social Reputation,' our school achieved the rankings of 5th, 22nd, and 26th, respectively. In addition to the key indicators, the detailed indicators for this year have expanded to 48 items. Our school ranked first nationwide with 1,279 students enrolled in foreign language departments, programs, and degree programs. In a key indicator, 'Contribution to United Nations Sustainable Development Goals (SDGs),' our school ranked 16th.
</w:t>
          <w:br/>
          <w:t>GVM Magazine released its first "Taiwan's Best University Rankings" in 2016. It has now officially entered its eighth year. In addition to consulting with various universities every year, it has collaborated with the world's largest academic database, Elsevier, utilizing its Scopus database and SciVal, a research performance assessment tool, to optimize indicators. This year, a total of 87 schools were evaluated, which included those with a student population of over 3,000 and assistant professor-level faculty members exceeding 150.</w:t>
          <w:br/>
        </w:r>
      </w:r>
    </w:p>
    <w:p>
      <w:pPr>
        <w:jc w:val="center"/>
      </w:pPr>
      <w:r>
        <w:r>
          <w:drawing>
            <wp:inline xmlns:wp14="http://schemas.microsoft.com/office/word/2010/wordprocessingDrawing" xmlns:wp="http://schemas.openxmlformats.org/drawingml/2006/wordprocessingDrawing" distT="0" distB="0" distL="0" distR="0" wp14:editId="50D07946">
              <wp:extent cx="4876800" cy="2005584"/>
              <wp:effectExtent l="0" t="0" r="0" b="0"/>
              <wp:docPr id="1" name="IMG_65bd06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e6f10dc3-81f6-4f35-9848-437778cea6ab.jpg"/>
                      <pic:cNvPicPr/>
                    </pic:nvPicPr>
                    <pic:blipFill>
                      <a:blip xmlns:r="http://schemas.openxmlformats.org/officeDocument/2006/relationships" r:embed="R181e3dd048764026" cstate="print">
                        <a:extLst>
                          <a:ext uri="{28A0092B-C50C-407E-A947-70E740481C1C}"/>
                        </a:extLst>
                      </a:blip>
                      <a:stretch>
                        <a:fillRect/>
                      </a:stretch>
                    </pic:blipFill>
                    <pic:spPr>
                      <a:xfrm>
                        <a:off x="0" y="0"/>
                        <a:ext cx="4876800" cy="20055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1e3dd048764026" /></Relationships>
</file>