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8fe8aa5c0940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【人物短波】薛宏中莊程豪當選台灣物理學會監事與理事</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物理系教授兼研究發展處研發長薛宏中與物理系暨尖端材料科學學程主任莊程豪，分別獲選為第56屆社團法人台灣物理學會的監事與理事，將為台灣物理學會盡一己之力，莊程豪表示，理監事一任兩年，薛宏中曾於55屆擔任理事及學術處副主任，主持物理年會壁報論文發表與競賽，學生學術獎項審查，並協助教師學術獎項審查。莊程豪此次獲選理事外，將出任教育委員會副召集人，協助高中端面臨108課綱的各項挑戰，協助學會參與未來新課綱的推動，並將指導學會學生分會加入國際物理學生協會。（文／舒宜萍）</w:t>
          <w:br/>
        </w:r>
      </w:r>
    </w:p>
  </w:body>
</w:document>
</file>