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e22ac45b749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行政單位數位轉型暨淨零成果觀摩 葛校長肯定智慧促成永續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資訊處3月21日上午10時至下午2時於活動中心舉辦「2024行政單位數位轉型暨淨零轉型成果觀摩展」，主題為「AI+SDGs=∞」，由本校63組一、二級行政單位，展示共72件運用微軟3AP各項數位功能，促進業務轉型成果，約340名教職員在現場互相觀摩學習，並進行人氣投票。最後由秘書處、教務處、人資處、招生策略中心、及管理企劃組（依單位排序）獲得人氣獎。
</w:t>
          <w:br/>
          <w:t>　校長葛煥昭開場致詞表示，在成果展中可看見本校過去、現在、未來的努力，逐漸從AI到淨零轉型，讓智慧促成永續，能省經費、省時間、省人力、省紙張等，提升教職員生活滿意度。資訊長石貴平也在開場致詞中，歡迎各單位彼此切磋對於數位轉型和SDGs之間的做法。
</w:t>
          <w:br/>
          <w:t>　葛校長並與3位副校長許輝煌、林俊宏、陳小雀與石貴平及稽核長林彥伶進行開幕剪綵儀式，並邀請大同大學副校長黃維信、台北海洋科技大學教務長王聖文、實踐大學教學發展中心江昭儀、及本校主管們一同紀念合影。
</w:t>
          <w:br/>
          <w:t>　成果觀摩展中，行政單位各展所長，教職員們至各單位攤位間參觀、交流、解說、拉票，場面十分熱絡。葛校長一一參觀各攤位，不斷點頭表示肯定各單位成果，而各家解說代表皆積極表現，也邀請葛校長一同合照，葛校長也在淡江時報等單位投下贊同的一票。
</w:t>
          <w:br/>
          <w:t>　其中幾組成果別出心裁，如國際處國際兩岸交流組以「愛上淡小虎的那一天」為標題，展現淡小虎簡化思考與資訊收集的能力；蘭陽行政處以「優化淡蘭館住宿作業」分享自動化訂房作業流程，提高工作效率，多位同仁試用滿意並直接訂房，永續中心淨零碳排推動組填報溫室氣體盤查資料，減少工作負擔，文錙藝術中心「藝轉新境」展示數位淨零成果；資訊處設有7個攤位、推廣教育中心設有6個，分別介紹證照、華語、日語、推廣及進修等中心各類簡化業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6208"/>
              <wp:effectExtent l="0" t="0" r="0" b="0"/>
              <wp:docPr id="1" name="IMG_90b330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f809b00-6e5f-4092-bd07-96debc8a9366.jpg"/>
                      <pic:cNvPicPr/>
                    </pic:nvPicPr>
                    <pic:blipFill>
                      <a:blip xmlns:r="http://schemas.openxmlformats.org/officeDocument/2006/relationships" r:embed="Rc78aee847b904c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6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ae4b0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36fe9e5-d81a-43bf-8276-0aa87673f11a.jpg"/>
                      <pic:cNvPicPr/>
                    </pic:nvPicPr>
                    <pic:blipFill>
                      <a:blip xmlns:r="http://schemas.openxmlformats.org/officeDocument/2006/relationships" r:embed="Rfc16f6a4974f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8880"/>
              <wp:effectExtent l="0" t="0" r="0" b="0"/>
              <wp:docPr id="1" name="IMG_ee1f7f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0815470-4a81-4721-8e47-60e581f8357e.jpg"/>
                      <pic:cNvPicPr/>
                    </pic:nvPicPr>
                    <pic:blipFill>
                      <a:blip xmlns:r="http://schemas.openxmlformats.org/officeDocument/2006/relationships" r:embed="Rc041075dd3864b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151b9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8d3284f-f996-4319-8df8-b2abbbf96913.jpg"/>
                      <pic:cNvPicPr/>
                    </pic:nvPicPr>
                    <pic:blipFill>
                      <a:blip xmlns:r="http://schemas.openxmlformats.org/officeDocument/2006/relationships" r:embed="R06588acd2a0942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89632"/>
              <wp:effectExtent l="0" t="0" r="0" b="0"/>
              <wp:docPr id="1" name="IMG_6e330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6f61bc6-73e7-4844-9273-f8223039ea72.jpg"/>
                      <pic:cNvPicPr/>
                    </pic:nvPicPr>
                    <pic:blipFill>
                      <a:blip xmlns:r="http://schemas.openxmlformats.org/officeDocument/2006/relationships" r:embed="Rf465c4e37ac746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89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8aee847b904c28" /><Relationship Type="http://schemas.openxmlformats.org/officeDocument/2006/relationships/image" Target="/media/image2.bin" Id="Rfc16f6a4974f4d43" /><Relationship Type="http://schemas.openxmlformats.org/officeDocument/2006/relationships/image" Target="/media/image3.bin" Id="Rc041075dd3864bc7" /><Relationship Type="http://schemas.openxmlformats.org/officeDocument/2006/relationships/image" Target="/media/image4.bin" Id="R06588acd2a094291" /><Relationship Type="http://schemas.openxmlformats.org/officeDocument/2006/relationships/image" Target="/media/image5.bin" Id="Rf465c4e37ac746ab" /></Relationships>
</file>