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8128d6ecfe417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Taipei City Alumni Association Awards NT$2.1 Million in Scholarships to 160 Recipients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Taipei City Tamkang University Alumni Association raised scholarships and hosted the 2024 Academic Year Public Welfare Platform Award Ceremony on the morning of December 8, 2024, at the Sing Liang Dian Garden Banquet. Scholarships in 4 categories - “Unity,” “Outstanding Academic Performance,” “Self-Reliance,” and “Enthusiastic Service” - were awarded. A total of 64 sponsors from 11 alumni and societal groups contributed, benefiting 160 students with scholarships totaling approximately NT$2.1 million. The ceremony was attended by nearly 238 participants, including faculty, students, alumni, parents, sponsors, and volunteers, celebrating a moment filled with joy and honor.
</w:t>
          <w:br/>
          <w:t>
</w:t>
          <w:br/>
          <w:t>President Chao-Lung Tsui of the Taipei City Tamkang University Alumni Association expressed gratitude to all the sponsors and congratulated the scholarship recipients, commending their hard work and perseverance. He encouraged them to maintain their passion for learning and achieve greater success in their academic and personal endeavors. Chun-Young Perng, Executive Director of the Alumni Services and Resources Development Office, advised students to focus on building a solid foundation during their first and second years and to engage in interdisciplinary learning and exchanges in their third and fourth years to prepare for future opportunities after graduation. Alumni generously donated to support younger students, not only aiding their growth but also inspiring them with stories of perseverance and success, passing on the spirit of giving.
</w:t>
          <w:br/>
          <w:t>
</w:t>
          <w:br/>
          <w:t>After the award ceremony, recipients and sponsors dined together, fostering meaningful connections. Tamkang University Alumni Association Headquarters President Tsang-Chiang Chen, Secretary-General Yi-Min Hsu, Tamkang University Alumni Association Headquarters of Departments President Chih-Jen Su, and Perng visited each table to thank the donors and congratulate the recipients. As recipients filled out scholarship receipts, they also expressed their gratitude directly to the alumni association and sponsors.
</w:t>
          <w:br/>
          <w:t>
</w:t>
          <w:br/>
          <w:t>Yi-Xuan Wu, a third-year Chinese major and recipient of the Outstanding Academic Performance Scholarship, shared her honor and delight at meeting the sponsors. She saw the award as a valuable opportunity to showcase her abilities and to exchange ideas with outstanding students from various grades and departments. She expressed gratitude for the alumni’s support for the university and felt inspired by the encouragement she received during the luncheon, aiming to maintain her strong performance in the future. Kong Jing Lam, a fourth-year student in the Department of Information and Communication, expressed her deep gratitude for receiving the Self-Reliance and Outstanding Academic Performance Scholarship, which not only eased her financial burden but also allowed her to fully concentrate on her studies. As a volunteer for the alumni association, she felt honored to give back to the university through her actions.</w:t>
          <w:br/>
        </w:r>
      </w:r>
    </w:p>
    <w:p>
      <w:pPr>
        <w:jc w:val="center"/>
      </w:pPr>
      <w:r>
        <w:r>
          <w:drawing>
            <wp:inline xmlns:wp14="http://schemas.microsoft.com/office/word/2010/wordprocessingDrawing" xmlns:wp="http://schemas.openxmlformats.org/drawingml/2006/wordprocessingDrawing" distT="0" distB="0" distL="0" distR="0" wp14:editId="50D07946">
              <wp:extent cx="4876800" cy="2980944"/>
              <wp:effectExtent l="0" t="0" r="0" b="0"/>
              <wp:docPr id="1" name="IMG_aa6d4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e28d4029-694a-4e53-9b6a-01411d4f311b.jpg"/>
                      <pic:cNvPicPr/>
                    </pic:nvPicPr>
                    <pic:blipFill>
                      <a:blip xmlns:r="http://schemas.openxmlformats.org/officeDocument/2006/relationships" r:embed="R5f157c840dd54eb5" cstate="print">
                        <a:extLst>
                          <a:ext uri="{28A0092B-C50C-407E-A947-70E740481C1C}"/>
                        </a:extLst>
                      </a:blip>
                      <a:stretch>
                        <a:fillRect/>
                      </a:stretch>
                    </pic:blipFill>
                    <pic:spPr>
                      <a:xfrm>
                        <a:off x="0" y="0"/>
                        <a:ext cx="4876800" cy="298094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98064"/>
              <wp:effectExtent l="0" t="0" r="0" b="0"/>
              <wp:docPr id="1" name="IMG_fe8a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7d8b07a5-177e-484d-9510-8b2b44898e78.jpg"/>
                      <pic:cNvPicPr/>
                    </pic:nvPicPr>
                    <pic:blipFill>
                      <a:blip xmlns:r="http://schemas.openxmlformats.org/officeDocument/2006/relationships" r:embed="R8fb553062d0947ad" cstate="print">
                        <a:extLst>
                          <a:ext uri="{28A0092B-C50C-407E-A947-70E740481C1C}"/>
                        </a:extLst>
                      </a:blip>
                      <a:stretch>
                        <a:fillRect/>
                      </a:stretch>
                    </pic:blipFill>
                    <pic:spPr>
                      <a:xfrm>
                        <a:off x="0" y="0"/>
                        <a:ext cx="4876800" cy="27980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2c41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d3b4524b-ad89-4b6f-abd1-a999f3df1f00.JPG"/>
                      <pic:cNvPicPr/>
                    </pic:nvPicPr>
                    <pic:blipFill>
                      <a:blip xmlns:r="http://schemas.openxmlformats.org/officeDocument/2006/relationships" r:embed="R71a52953aa1a414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fef9e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bc03f25-1e48-41dc-956c-8c78b10f03d9.jpg"/>
                      <pic:cNvPicPr/>
                    </pic:nvPicPr>
                    <pic:blipFill>
                      <a:blip xmlns:r="http://schemas.openxmlformats.org/officeDocument/2006/relationships" r:embed="Rec6b247fd4e54eb8"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f157c840dd54eb5" /><Relationship Type="http://schemas.openxmlformats.org/officeDocument/2006/relationships/image" Target="/media/image2.bin" Id="R8fb553062d0947ad" /><Relationship Type="http://schemas.openxmlformats.org/officeDocument/2006/relationships/image" Target="/media/image3.bin" Id="R71a52953aa1a4145" /><Relationship Type="http://schemas.openxmlformats.org/officeDocument/2006/relationships/image" Target="/media/image4.bin" Id="Rec6b247fd4e54eb8" /></Relationships>
</file>