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90c040f58a480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1202 期</w:t>
        </w:r>
      </w:r>
    </w:p>
    <w:p>
      <w:pPr>
        <w:jc w:val="center"/>
      </w:pPr>
      <w:r>
        <w:r>
          <w:rPr>
            <w:rFonts w:ascii="Segoe UI" w:hAnsi="Segoe UI" w:eastAsia="Segoe UI"/>
            <w:sz w:val="32"/>
            <w:color w:val="000000"/>
            <w:b/>
          </w:rPr>
          <w:t>Tamkang University Ranks First Among Non-Medical Private Universities in Taiwan in the 2025 SAA World University Rankings for International Students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According to the results of the 2025 World University Rankings for International Students published on the Study Abroad Aide (SAA) website in December 2024, Tamkang University ranked 1,208th globally, 14th among public and private universities in Taiwan, and 3rd among private universities in Taiwan. It follows China Medical University and Taipei Medical University, ranking as the top non-medical private university.
</w:t>
          <w:br/>
          <w:t>Since 2021, SAA has compiled data on universities and colleges from a database covering 8,585 universities, 3,669 cities, and 70 countries worldwide. It is a website dedicated to providing study abroad evaluations for international students. The ranking aims to assess universities globally, with SAA collecting data on academic reputation, the proportion of international students, and total enrollment numbers based on official university English websites, publicly available government information, and third-party reliable platforms.
</w:t>
          <w:br/>
          <w:t>The website also offers a range of practical guides, including tuition inquiries, admission requirements, and language requirements, to help students find the most suitable university for studying abroad.</w:t>
          <w:br/>
        </w:r>
      </w:r>
    </w:p>
    <w:p>
      <w:pPr>
        <w:jc w:val="center"/>
      </w:pPr>
      <w:r>
        <w:r>
          <w:drawing>
            <wp:inline xmlns:wp14="http://schemas.microsoft.com/office/word/2010/wordprocessingDrawing" xmlns:wp="http://schemas.openxmlformats.org/drawingml/2006/wordprocessingDrawing" distT="0" distB="0" distL="0" distR="0" wp14:editId="50D07946">
              <wp:extent cx="4876800" cy="4504944"/>
              <wp:effectExtent l="0" t="0" r="0" b="0"/>
              <wp:docPr id="1" name="IMG_9af2af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8a4411b6-c29a-4cba-8079-ec9a674daa73.jpg"/>
                      <pic:cNvPicPr/>
                    </pic:nvPicPr>
                    <pic:blipFill>
                      <a:blip xmlns:r="http://schemas.openxmlformats.org/officeDocument/2006/relationships" r:embed="R9b7a8415c9184478" cstate="print">
                        <a:extLst>
                          <a:ext uri="{28A0092B-C50C-407E-A947-70E740481C1C}"/>
                        </a:extLst>
                      </a:blip>
                      <a:stretch>
                        <a:fillRect/>
                      </a:stretch>
                    </pic:blipFill>
                    <pic:spPr>
                      <a:xfrm>
                        <a:off x="0" y="0"/>
                        <a:ext cx="4876800" cy="450494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b7a8415c9184478" /></Relationships>
</file>