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c4e36c0bb4c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形神兼具的彩墨功力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彩墨畫是水墨畫的一種，中國水墨畫本諸於筆墨的運用，筆墨之間自然而成天趣，先墨後彩的畫法是符合傳統中國繪畫技法，但是用彩墨來作人體畫則是創新的。
</w:t>
          <w:br/>
          <w:t>
</w:t>
          <w:br/>
          <w:t>　這張彩墨畫是用毛筆先作墨色勾勒再以彩色加以潤澤，雖是看來快速完成的一張裸女彩墨畫，卻是形神兼具的優美作品，沒有數十年的功力是無法畫出這作品的。
</w:t>
          <w:br/>
          <w:t>
</w:t>
          <w:br/>
          <w:t>　李奇茂先生畢生研究創作水墨畫，從傳統中體會出高超的美學經驗與思想，開創了近代水墨藝術的新紀元，在台灣美術發展史上，奠定了大師的崇高地位。其精擅水墨畫及動態素描，來去五大洲歐亞非各地，成就了行萬里路的壯舉，不僅在每一地都有他的足跡，也在各地從事創作，行遍天下也畫滿天下。
</w:t>
          <w:br/>
          <w:t>
</w:t>
          <w:br/>
          <w:t>　李奇茂先生1925年生於安徽，現任本校文錙藝術中心主任，作品「鄉土生活」獲台灣郵政印行郵票，美國加州舊金山市訂11月29日為李奇茂日，李先生實為台灣藝術界奇人。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35024" cy="1085088"/>
              <wp:effectExtent l="0" t="0" r="0" b="0"/>
              <wp:docPr id="1" name="IMG_c7acc9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3/m\13f1a8f9-9a49-47b4-8f75-4872e57fac00.jpg"/>
                      <pic:cNvPicPr/>
                    </pic:nvPicPr>
                    <pic:blipFill>
                      <a:blip xmlns:r="http://schemas.openxmlformats.org/officeDocument/2006/relationships" r:embed="R45a12999fff647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5024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a12999fff64763" /></Relationships>
</file>