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9c23bb061c34ad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567 期</w:t>
        </w:r>
      </w:r>
    </w:p>
    <w:p>
      <w:pPr>
        <w:jc w:val="center"/>
      </w:pPr>
      <w:r>
        <w:r>
          <w:rPr>
            <w:rFonts w:ascii="Segoe UI" w:hAnsi="Segoe UI" w:eastAsia="Segoe UI"/>
            <w:sz w:val="32"/>
            <w:color w:val="000000"/>
            <w:b/>
          </w:rPr>
          <w:t>SOCIAL FRESHMEN HOLD NO HIGH EXPECTATION FOR SALARY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Ignoring President Cheng’s optimistic encouragement that “The spring of the economy is coming along with the swallow,” the emergent social freshmen hold no high expectation for their salary. According to a statistic made by the Office of Student Affair, almost 50 percent of the TKU graduates would accept any salary their future bosses afford.
</w:t>
          <w:br/>
          <w:t>
</w:t>
          <w:br/>
          <w:t>Every year the Division of Career Planning and Profession Consultation, Office of Student Affairs, will conduct “Occupational Intention Investigation” among graduates for the reference of TKU consultants and outside corporations. The investigation indicates the graduate’s “future plans” as well as “Wishes for Occupation,” which are categorized by job status, kind of profession, location, and expected salary.
</w:t>
          <w:br/>
          <w:t>
</w:t>
          <w:br/>
          <w:t>According to the statistic, about half of the graduate (48.9 percent) would “accept the salary offered by the company.” Conforming to the present salary status of job market, 11.7 percent of students expect 25,000 to 30,000 NT; 13.9 percent of graduates expect 30,000 to 35,000 NT. Generally speaking, the difference of expectation for students from College of Business and College of Engineering ranges evenly from 20,00 to 60,000 NT. There is a gap between 50, 000 and 60, 000 NT for students from Colleges of Liberal Arts, Science, Management, Foreign Languages and Literature, Education, Technology. At 60, 000 NT, there is a new increase of percentage—which also indicates a gap to the normal 20,000 to 30,000 salary standard for liberal arts graduates . 
</w:t>
          <w:br/>
          <w:t>
</w:t>
          <w:br/>
          <w:t>An impressive 44.8 percent of total graduates choose to work at the local country. 74.7 percents of graduates from College of Foreign Languages and Literature, more than 50 percent of graduates from College of Liberal Arts, Business, Management, International Studies, 29.8 percent of graduates from College of Engineer, and 21.7 percent of graduates form College of Science opt for this option. In the newly added item, “Attending Exam for National Exam or Certificate,” only 5.8 percent of student mark this option. Among them, 14.1 % are from College of Education. This indicates that teaching certificate is still popular for graduates from College of Education.
</w:t>
          <w:br/>
          <w:t>
</w:t>
          <w:br/>
          <w:t>As for the status of job, a carefree and static office working environment is still the dream for most students. 36.7 percent of graduates select administration and management, with College of Business (46.9%), Management (45.5%), Technology (40.3%), Education (39.4%). 21.3 percent choose education as their occupation, with College of Foreign Languages and Literature (50.5%), Education (39.2%), Science (29.8%), Liberal Arts (29.1%).
</w:t>
          <w:br/>
          <w:t>
</w:t>
          <w:br/>
          <w:t>Most graduates choose the kinds of profession apropos of their majors in the university. Students from Liberal Arts and Education choose jobs in the field of culture and education. Science and Engineering majors opt for electronic and communication industry. Languages and Literature majors tend to choose service business (with a high 41% rate). Business and International Studies majors opt for commerce and finance.
</w:t>
          <w:br/>
          <w:t>
</w:t>
          <w:br/>
          <w:t>As to the location of job, most graduates prefer the northern Taiwan. A few students intend to explore their future in Mainland China and South-eastern Asia.
</w:t>
          <w:br/>
          <w:t>
</w:t>
          <w:br/>
          <w:t>The present investigation consists of 6327 pieces of questionnaires, including 1564 copies in paper form, 1298 copies from internet response. The total response rate is 45.23%. Except “expected salary,” the other three questions are multiple choices.</w:t>
          <w:br/>
        </w:r>
      </w:r>
    </w:p>
  </w:body>
</w:document>
</file>