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c08c8c879a4483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581 期</w:t>
        </w:r>
      </w:r>
    </w:p>
    <w:p>
      <w:pPr>
        <w:jc w:val="center"/>
      </w:pPr>
      <w:r>
        <w:r>
          <w:rPr>
            <w:rFonts w:ascii="Segoe UI" w:hAnsi="Segoe UI" w:eastAsia="Segoe UI"/>
            <w:sz w:val="32"/>
            <w:color w:val="000000"/>
            <w:b/>
          </w:rPr>
          <w:t>TKU AND CURTIN UNIVERSITY OF TECHNOLOGY (CUT,AUSTRALIA) ESTABLISH UNITED SYSTEM  TWO DEGREES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September 10 Dean of the College of Business Shiau Fung-shyung signed the contract of united system with CUT’s Dean of the College of Business Management Ian A. Kerr.  From next year, students from TKU’s College of Business and Management can apply for taking courses at CUT and acquire two B. A. or MBA degrees from two universities.  This is the first time that TKU establishes non-restricted united system of bi-degrees with sister university.  
</w:t>
          <w:br/>
          <w:t>
</w:t>
          <w:br/>
          <w:t>On the day of signing contract, CUT’s councilor Mo Seng-yuey, TKU’s Vice President for Academic Affairs Feng Chao-kang, Dean of the College of Management Chen Ting-ko, Director of the Office of International Exchanges and International Education Chen Hwei-mei, and chairs of other departments gathered to witness the historical moment of two universities’ exchange.  As Director Chen Hwei-mei indicated, the new system offers undergraduates’ 3+1+1 and graduates’ 1+1 single-major-and-double-degrees.
</w:t>
          <w:br/>
          <w:t>
</w:t>
          <w:br/>
          <w:t>“Undergraduates’ 3+1+1 system” means that students from TKU’s College of Business and Management need to study at CUT in their third and fifth years to acquire two degrees from the two universities.  “Graduates’ 1+1 system” refers to the first year’s study at TKU, the second at CUT, submission of dissertation half a year later, and acquisition of bi-MBA degrees from TKU and CUT.  Chen Hwei-mei emphasized that the qualifications of application include old TOFEL 550, or new TOFEL 213, and GPA above 3.0.  
</w:t>
          <w:br/>
          <w:t>
</w:t>
          <w:br/>
          <w:t>As for programs, students only need to take courses related to their majors and finish 8 credits in one academic year in Australia; there is not any screening policy of course-taking.  As Dean of the College of Business Shiau Fung-shyung indicated, the main purpose of abroad study is enhancing English proficiency and logical thinking; besides, students are offered the valuable opportunity of enriching their knowledge and empowering competitive edges.  The new united system can meet the needs of students studying specialized English programs at Department of International Trade; it is also open to students from College of Business and Management’s other departments: they can submit their applications next semester for studying at CUT.  Dean Shiau wished that students aiming at bi-MBA degrees had better prepare for TOFEL test as soon as possible.</w:t>
          <w:br/>
        </w:r>
      </w:r>
    </w:p>
  </w:body>
</w:document>
</file>