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d868dc60384b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587 期</w:t>
        </w:r>
      </w:r>
    </w:p>
    <w:p>
      <w:pPr>
        <w:jc w:val="center"/>
      </w:pPr>
      <w:r>
        <w:r>
          <w:rPr>
            <w:rFonts w:ascii="Segoe UI" w:hAnsi="Segoe UI" w:eastAsia="Segoe UI"/>
            <w:sz w:val="32"/>
            <w:color w:val="000000"/>
            <w:b/>
          </w:rPr>
          <w:t>《三化櫃窗》未來化</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●大陸台商作為一群「潛在」的移民？
</w:t>
          <w:br/>
          <w:t>　未來學所鄧建邦助理教授參加十月三十至三十一日在台北校園舉辦的第四屆和平學研討會，主題為「和平願景與超越衝突的未來實踐」，他以「中國大陸台商的他者處境與認同衝突」為題，撰文指出，雖然多數台商到中國大陸，目的在於「投資」、「工作」，但研究卻發現，他們在日常生活中，除經商投資與工作問題外，往往還面對著個人社會關係重組，一種接近「移民」生活處境的問題。
</w:t>
          <w:br/>
          <w:t>
</w:t>
          <w:br/>
          <w:t>　這主要是因台商停留在中國大陸時間，遠超過於在台灣的時間時，其與原家庭、母社會關係網絡也會逐漸淡薄，「離鄉背井」感觸跟隨增強；另一方面，雖然許多台商極力與當地社會建立新的網絡關係，但當他們多數的「在地關係」是基於「需要關係」而建立時，這些「新的關係」事實上並不容易成為他們努力改變自己重組一個新認同的充分理由，把「他鄉」變成「故鄉」。
</w:t>
          <w:br/>
          <w:t>
</w:t>
          <w:br/>
          <w:t>　所以儘管我們看到很多台灣的消費型態，在台商聚集地方「重現」，呈現一種the Taiwanese way of life，但台商在大陸尋得的「家鄉口味」，或可短暫補償他們的思鄉感受，但卻很難取代「家的感覺」。</w:t>
          <w:br/>
        </w:r>
      </w:r>
    </w:p>
  </w:body>
</w:document>
</file>