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647699791f14ad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590 期</w:t>
        </w:r>
      </w:r>
    </w:p>
    <w:p>
      <w:pPr>
        <w:jc w:val="center"/>
      </w:pPr>
      <w:r>
        <w:r>
          <w:rPr>
            <w:rFonts w:ascii="Segoe UI" w:hAnsi="Segoe UI" w:eastAsia="Segoe UI"/>
            <w:sz w:val="32"/>
            <w:color w:val="000000"/>
            <w:b/>
          </w:rPr>
          <w:t>TKU STRIKES TO RECRUIT MORE STUDENTS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Office of the Academic Affairs (OAA) and the Office of Alumni Services and Resources Development (OASRD) have jointly conjured up a series of promotional activities in two stages to recruit students. The first stage covers now to the end of December whereas the second stage refers to the period between March and April next year. During both periods, pupils, their parents and principals of some forty high schools will be invited to TKU for orientation. The list of the schools is compiled by statistics result of the schools whose graduates have constituted TKU’s students’ population in recent years.
</w:t>
          <w:br/>
          <w:t>
</w:t>
          <w:br/>
          <w:t>In the first stage, TKU has invited the students from the 40 high schools that have applied to study here this year. These schools are mostly situated in Taipei City and County, such as Cheng Yuan, Minglun, Datong, Xisong, Young Chun, Huajiang, Yangming, Bailing, Wesley, Wego high schools and some others from as far as Ping Tung County. 
</w:t>
          <w:br/>
          <w:t>
</w:t>
          <w:br/>
          <w:t>Despite the impressive enrollment rate of 95.9% for freshmen, TKU still needs to do its homework well, insists Keh Huan-Chao, the Dean of OAA. These promotional activities are one of the basic homework in establishing good relationship with these high schools. Successful operation will require the full cooperation of departmental staff and faculty as well as alumni. For example, when these pupils arrive for orientation, they will be led and shown around to departments of their choice. In this case, departmental involvement will be crucial. Similarly, OASRD will request several regional TKU alumni associations, taking advantage of their local network, to invite high school principals and officers concerned. 
</w:t>
          <w:br/>
          <w:t>
</w:t>
          <w:br/>
          <w:t>TKU has arranged a comprehensive one-day program for each high school packed with information about the past, present and future of Tamkang. Pupils will attend presentations regarding faculty, equipment, scholarship, and accommodation in the morning. In the afternoon, they will visit the main library, museums and sport facilities. They will surely be impressed by what TKU has to offer.</w:t>
          <w:br/>
        </w:r>
      </w:r>
    </w:p>
  </w:body>
</w:document>
</file>