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7d76cb1d3d4fb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591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TAMSUI ETHOLOGIC LITERATURE PUBLISHED ON SATURDAY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英文電子報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College of Liberal Arts will present “Three Dimensional Records: Tamsui Ethologic Literature” at 1:00 p.m. at L522 (Building of Liberal Arts) this Saturday, programs including “Hard Life at Tamsui” and “Tough Roads at Tamsui,” two documentaries recording the living and traffic conditions at Tamsui.
</w:t>
          <w:br/>
          <w:t>
</w:t>
          <w:br/>
          <w:t>The research is conducted by Professor Chou Yen-wen (Department of Chinese), with the collaborations of Chou Jeh-nan (Graduate Institute of Chinese Linguistics and Documentation ), Kuo Wen-ling (sophomore student from Department of Accounting), Hsu Cheng-li and Wu Ming-hui (seniors from Department of Chinese), Lin Ching-rong (sophomore from Department of Chinese) and Cheng Yu-chi ( senior from Department of Information and Library Science). According to Professor Chou, “Three Dimensional Records” writes the local history with images; it takes one to one and a half years  to finish each stage of project. This year’s presentation is the fourth,  featuring local lives; the past presentations include the ethologic literature of developments, temples, and productions.</w:t>
          <w:br/>
        </w:r>
      </w:r>
    </w:p>
  </w:body>
</w:document>
</file>