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432c3ed1da49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COLLEGE OF LIBERAL ARTS HOLDS CONFERENCE ON CHINESE CANON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promote the study of the Chinese canon, the College of Liberal Arts is holding the first Conference on Chinese Culture and Canon Education at the Ching-sheng International Conference Hall on Saturday 27 December. 
</w:t>
          <w:br/>
          <w:t>
</w:t>
          <w:br/>
          <w:t>Prof. Kao Po-yuan, dean of the College of Liberal Arts, sees canon education as the study of not just the great books of Confucianism but also those of Taoism, Buddhism and Christianity. The essence of Chinese culture lies in the canonical works, he remarks; and canon education is the core of cultural education. 
</w:t>
          <w:br/>
          <w:t>
</w:t>
          <w:br/>
          <w:t>The keynote speech of the conference, “How to enter the world of the canon”, will be given by Prof. Yuan Pau-hsin, president of Hsing Wu College of Technology, with Prof. Wu Che-fu, chair of the Graduate Institute of Chinese Linguistics and Documentation, as chair. The other speakers of the morning session include Prof. Tseng Chao-hsu of the Chinese Department, Prof. Vladimir Maliavine of the Russian Department, and Prof. Deng Horng-chao of the Department of Civil Engineering of Tung-nan College of Technology. Prof. Scott Cook of Grinnell College, USA will moderate the session. Speakers of the afternoon session include Prof. Kao Po-yuan, Prof. Lian Ching-ji of Nagasaki University, and Prof. Tang Yau-chung of the History Department. The conference will end with a roundtable discussion.</w:t>
          <w:br/>
        </w:r>
      </w:r>
    </w:p>
  </w:body>
</w:document>
</file>