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43854f1da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黃磊生融合水墨與西畫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墨畫中嶺南派是較晚時期產生於廣東，約在清末民初，高奇峰、高劍父留學日本學習繪畫之後，回到廣東融合了傳統的水墨畫，加上西畫中合於國畫的技法，於是便有嶺南派的這種新的名詞，民國初年嶺南派盛行於一時，流傳到港、澳、南洋一帶。
</w:t>
          <w:br/>
          <w:t>
</w:t>
          <w:br/>
          <w:t>　嶺南派的用筆、用色皆有特殊方法，尤以花卉畫法之中用撞粉畫法，屬水墨畫中首創畫法，嶺南畫的盛名由此而為世人所樂道。
</w:t>
          <w:br/>
          <w:t>
</w:t>
          <w:br/>
          <w:t>　黃磊生教授就是嶺南派中健將，1928年生於廣東，初習西畫，後改專攻中國水墨畫，五十年宗嶺南畫派，擅長花卉、翎毛、蟲魚、走獸、山水，技法高超，歷年以來在世界各地展覽，並於著名學府及藝術機構講學。1957年榮獲第一屆亞細亞青年畫展水墨畫首獎，獲得美國「費里斯曼」藝術獎金，1987年獲台灣省文藝作家協會中興文藝獎章。現任美國東方藝術協會、中華藝術協會、三石畫藝學會理事長、省美展及全國美展評審委員、中國文化大學美術系國畫組專任教授，著有黃磊生畫集，共五輯。黃磊生教授譽滿歐美台灣，為嶺南派畫家中的翹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40080" cy="1792224"/>
              <wp:effectExtent l="0" t="0" r="0" b="0"/>
              <wp:docPr id="1" name="IMG_27907e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2/m\88efc74e-91f9-43d0-bbc6-2340ae658a51.jpg"/>
                      <pic:cNvPicPr/>
                    </pic:nvPicPr>
                    <pic:blipFill>
                      <a:blip xmlns:r="http://schemas.openxmlformats.org/officeDocument/2006/relationships" r:embed="R389f1d6b184844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9f1d6b184844ad" /></Relationships>
</file>