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2200c12d142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未來化》》》國家利益的未來觀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近日各界關於「國家利益」、「政黨利益」與「人民利益」的論述不斷，由於立論角度基礎不同，產生許多概念上的爭議，例如：如何界定「國家利益」？如何實現「國家利益」？如何評估「國家利益」等相關問題。其實，國際局勢演變主導「國家利益」觀念的發展，在冷戰兩極對抗時期，國家為國際政治的主要行為者，「軍事安全」的維護就成為最重要的核心價值，及自冷戰以來，「經濟利益」成為世界競爭主軸，多元行為體的出現，個人、非政府組織、國際組織與國家共同競逐於此一世界舞台，又加上「資訊革命」所帶來的便利性，價值的分殊性，更被凸顯，換言之，國家利益的共識難以不型塑，不僅產生多元化的國家利益，影響國家利益無法聚焦，帶來更多國家安全困境。解決之道，運用未來學的弔詭思考方式，釐清台灣的國際戰略地位，整合本身的軟、硬權力資源，建構完整之國家安全戰略架構。（翁明賢）</w:t>
          <w:br/>
        </w:r>
      </w:r>
    </w:p>
  </w:body>
</w:document>
</file>