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c301720d7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熊碧梧水墨畫融合中西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文錙藝窗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從國畫大師張大千以「潑墨」的畫法展現於山水畫之後，水墨畫的筆墨技法又提升了一大步。不僅在宣紙的渲染法中運用了很自由的潑染，更進而使用不吸水的礬紙，亦即「墨」與「彩」畫在紙上時，可以自行流動，或是以筆在紙上，使彩墨隨之流動。
</w:t>
          <w:br/>
          <w:t>
</w:t>
          <w:br/>
          <w:t>「潑墨法」素來已有，但與現代潑墨畫法不盡相同。相傳唐代畫家王洽以墨潑紙素，腳蹴手抹，隨其形狀為石、為雲、為水，應手隨意塗出雲霞、染成風雨。實際上，古人是借隨意的塗抹，形成形象，而現代人是運用抽象的自然塗抹，並不必具有實際的自然形。簡言之，古人寫其實，今人畫其虛。熊碧梧教授的水墨作品「荷塘翠鳥」即是將虛的彩墨潑在實物的畫面上，亦是將水墨畫的技法，擴張到較為自由的境界。
</w:t>
          <w:br/>
          <w:t>
</w:t>
          <w:br/>
          <w:t>熊碧梧教授1949年生，畢業於政治作戰學校美術系，專攻花鳥繪畫，曾任政治作戰學校藝術學系主任，曾多次舉辦畫展及多次受邀參加國內外聯展，榮獲89年度中國文藝協會美術獎章，著有《款提藝術研究》、《花鳥繪畫創作精神之研究》、《中國繪畫中的形與色》等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481328"/>
              <wp:effectExtent l="0" t="0" r="0" b="0"/>
              <wp:docPr id="1" name="IMG_83783d4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09/m\05c9d681-5717-4053-84c3-c7d3b9a2f9ab.jpg"/>
                      <pic:cNvPicPr/>
                    </pic:nvPicPr>
                    <pic:blipFill>
                      <a:blip xmlns:r="http://schemas.openxmlformats.org/officeDocument/2006/relationships" r:embed="R91404d059b0f48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4813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1404d059b0f48d0" /></Relationships>
</file>