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91e0059674d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結合在地 營造Glocal教學特色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蘭陽校園打出的特色是Glocal，不但有Global也有Local，規劃核心課程的陳國華主任說：「我們了解蘭陽的觀光、溫泉事業，培養在地事務參與的能力，才有能力處理好國際事務。」
</w:t>
          <w:br/>
          <w:t>  
</w:t>
          <w:br/>
          <w:t>林主任所規劃的服務課程，與社區結合，可以到山下採金桔，到礁溪鄉掃街，體育課可以古道健行，或到隔壁的礁溪高爾夫場打球，也積極規劃到冬山河的划船課程，期許我們學校的選手將來也能在「冬山河國際名校賽」爭光。
</w:t>
          <w:br/>
          <w:t>  
</w:t>
          <w:br/>
          <w:t>此外，藉著參訪在地企業，也希望同學掌握就業市場的脈動。李培齊主任說企業主對於人才的需求，最在乎的不在於專業，「專業能力都可以再訓練，唯有『工作態度』與『責任心』無法訓練。」李培齊主任相信，淡江已經是私校之中「企業最愛」的翹楚，蘭陽校園應該可以在這基礎上有更好的發展。</w:t>
          <w:br/>
        </w:r>
      </w:r>
    </w:p>
  </w:body>
</w:document>
</file>