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8eabe30d84e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吳金城傳承文人畫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文人畫首推唐代王維為始祖，北宋蘇軾提出「士夫畫」，明代董其昌倡「文人之畫」，此其指士大夫所作的畫，以別於民間畫工及宮廷畫院所作之作品，藉以提高士大夫階層的繪畫藝術。
</w:t>
          <w:br/>
          <w:t>
</w:t>
          <w:br/>
          <w:t>近代藝評家陳衡恪提出文人畫的四大要素「人品、學問、才情、思想」，崇尚品藻、講求筆墨情趣、強調神韻脫略形似，重視文學、書法修養和畫中意境的締造。
</w:t>
          <w:br/>
          <w:t>
</w:t>
          <w:br/>
          <w:t>吳金城先生的水墨畫「問羲之先生消息」就含有上述的修養及條件，從他詮釋布袋和尚詩，「手把青秧插滿田，低頭便見水中天，六根清淨方為道，退步原來是向前」就可以看出他的慧根。畫中插秧的農夫與田埂邊上的茶壺，形成頗有趣味的圖面。
</w:t>
          <w:br/>
          <w:t>
</w:t>
          <w:br/>
          <w:t>吳金城1955年生於嘉義，現任教於政戰學校美術系，為中華民國畫學會理事、竹林雅集、慈濟書畫會會員。個展多次，曾獲國家文藝獎助學金、國軍文藝金像獎。在筆墨上汲取傳統精髓，在創作上書法繪畫並進，詩文哲史同參，由寫生再造境，將自我對自然造化、宇宙人生的涵詠融入創作，賦予作品更鮮活的生命力及感染力，頗受到藝界人士讚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524000"/>
              <wp:effectExtent l="0" t="0" r="0" b="0"/>
              <wp:docPr id="1" name="IMG_949e7f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3/m\4ef75216-b13d-4673-ad54-3860bfb0491d.jpg"/>
                      <pic:cNvPicPr/>
                    </pic:nvPicPr>
                    <pic:blipFill>
                      <a:blip xmlns:r="http://schemas.openxmlformats.org/officeDocument/2006/relationships" r:embed="R4453d805344346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2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53d805344346a1" /></Relationships>
</file>