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fa2df122e244bf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613 期</w:t>
        </w:r>
      </w:r>
    </w:p>
    <w:p>
      <w:pPr>
        <w:jc w:val="center"/>
      </w:pPr>
      <w:r>
        <w:r>
          <w:rPr>
            <w:rFonts w:ascii="Segoe UI" w:hAnsi="Segoe UI" w:eastAsia="Segoe UI"/>
            <w:sz w:val="32"/>
            <w:color w:val="000000"/>
            <w:b/>
          </w:rPr>
          <w:t>林保淳出版《台灣武俠小說發展史》</w:t>
        </w:r>
      </w:r>
    </w:p>
    <w:p>
      <w:pPr>
        <w:jc w:val="right"/>
      </w:pPr>
      <w:r>
        <w:r>
          <w:rPr>
            <w:rFonts w:ascii="Segoe UI" w:hAnsi="Segoe UI" w:eastAsia="Segoe UI"/>
            <w:sz w:val="28"/>
            <w:color w:val="888888"/>
            <w:b/>
          </w:rPr>
          <w:t>學海跫音</w:t>
        </w:r>
      </w:r>
    </w:p>
    <w:p>
      <w:pPr>
        <w:jc w:val="left"/>
      </w:pPr>
      <w:r>
        <w:r>
          <w:rPr>
            <w:rFonts w:ascii="Segoe UI" w:hAnsi="Segoe UI" w:eastAsia="Segoe UI"/>
            <w:sz w:val="28"/>
            <w:color w:val="000000"/>
          </w:rPr>
          <w:t>△中文系教授林保淳，與武俠小說評論家葉洪生合作寫出《台灣武俠小說發展史》於本月2日推出。林保淳在系上開設武俠小說概論，以「通俗文學」為出發點，從讀者的角度，分析通俗小說的特質，並切入武俠小說的類型特色，展開相關的探討。有鑑於早期許多優質的武俠作品已絕版，葉洪生也將近千部個人武俠小說收藏捐贈給中文系通俗武俠小說研究室，好讓後生小輩也能進入武俠小說的殿堂。這部鉅作寫作時間長達5年，3度易稿而成，為台灣武俠小說寫下歷史的新頁。（王頌）</w:t>
          <w:br/>
        </w:r>
      </w:r>
    </w:p>
  </w:body>
</w:document>
</file>