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14040d2ddc4a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610 期</w:t>
        </w:r>
      </w:r>
    </w:p>
    <w:p>
      <w:pPr>
        <w:jc w:val="center"/>
      </w:pPr>
      <w:r>
        <w:r>
          <w:rPr>
            <w:rFonts w:ascii="Segoe UI" w:hAnsi="Segoe UI" w:eastAsia="Segoe UI"/>
            <w:sz w:val="32"/>
            <w:color w:val="000000"/>
            <w:b/>
          </w:rPr>
          <w:t>EMBA CLASSES SET UP AN ALUMNI ASSOCIATION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8 classes of 4 graduate institutes at the TKU in-service program under the College of Management (CM) will officially set up an EMBA alumni association on May 29 at the Taipei Cesar Hotel. They have invited Flora Chang and Chen Fay-lung, the President of the Namchow Company to preside their opening ceremony.
</w:t>
          <w:br/>
          <w:t>
</w:t>
          <w:br/>
          <w:t>The idea of the association came from Chen Jing Ko, the Dean of CM, who welcomes students from TKU’s regular EMBA program to join as well. The benefit of joining such an association lies mainly on the rich pool of networking built by alumni who are mainly successful professionals in business and financial sectors in Taiwan. In addition, the establishment of such an association will be able to organize these rich resources so that they can be available to everyone concerned, such as providing internship or tours for students to gain insight to operation of enterprises. (~ Ying-hsueh Hu )</w:t>
          <w:br/>
        </w:r>
      </w:r>
    </w:p>
  </w:body>
</w:document>
</file>