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217848ec7a4b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616 期</w:t>
        </w:r>
      </w:r>
    </w:p>
    <w:p>
      <w:pPr>
        <w:jc w:val="center"/>
      </w:pPr>
      <w:r>
        <w:r>
          <w:rPr>
            <w:rFonts w:ascii="Segoe UI" w:hAnsi="Segoe UI" w:eastAsia="Segoe UI"/>
            <w:sz w:val="32"/>
            <w:color w:val="000000"/>
            <w:b/>
          </w:rPr>
          <w:t>APPRECIATING EUROPEAN ARCHITECTURAL HERITAGE UP CLOSE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Yao Jong-dar, the chair of the Architecture and Building Technology Department of TKU led 13 students to visit Europe in 19 days so they could appreciate and understand the aestheticism and ingenuity of European engineering up close and personal. They trotted up and down in some of the most important historical European cities, such as Rome, Venice, Vienna Florence and Prague, where they saw ancient Roman Coliseums, medieval city walls, Renaissance Florentine buildings, Gothic cathedrals and Baroque palaces. Theses first hand experiences are extremely crucial to these students not only from the aesthetical point of view, but also in terms of witnessing the vision and greatness of European masonry and engineering.</w:t>
          <w:br/>
        </w:r>
      </w:r>
    </w:p>
  </w:body>
</w:document>
</file>