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1ca01035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國科會專題研究 本校通過246件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【記者熊君君報導】據研究發展處資料統計，本校教師94學年度國科會專題研究計劃案至目前為止，核定通過件數246件，較去年多5件，總金額達新台幣1億4千多萬元。
</w:t>
          <w:br/>
          <w:t>
</w:t>
          <w:br/>
          <w:t>通過率第一的是理學院76％，其次是文學院的59.1％。文學院院長趙雅麗表示她積極在各場合、會議上推動研究風氣，改善實質研究環境，新進助理教授發揮旺盛的學術熱情，都是促使文學院研究風氣提昇的原因。
</w:t>
          <w:br/>
          <w:t>
</w:t>
          <w:br/>
          <w:t>此次也有11位以研究成果著稱的教師，各有2件專題研究案獲得通過，包括電機系李揚漢 、電機系翁慶昌、資工系張志勇、電機系郭建宏、化學系陳幹男、決策系黃文濤、機電系楊龍杰、化材系董崇民、大傳系趙雅麗、土木系鄭啟明、化材系鄭廖平。
</w:t>
          <w:br/>
          <w:t>
</w:t>
          <w:br/>
          <w:t>研究發展處研發長陳幹男強調，本校整體的研究表現還有待加強，希望新進教師可以展現蓬勃的學術活力，帶動專題研究的風氣。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822704"/>
              <wp:effectExtent l="0" t="0" r="0" b="0"/>
              <wp:docPr id="1" name="IMG_06357b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d97cca1b-e9b4-49ea-8bec-0eef3e4201c0.jpg"/>
                      <pic:cNvPicPr/>
                    </pic:nvPicPr>
                    <pic:blipFill>
                      <a:blip xmlns:r="http://schemas.openxmlformats.org/officeDocument/2006/relationships" r:embed="R7536662df2c248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36662df2c24814" /></Relationships>
</file>