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0c5ae4cda11440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571 期</w:t>
        </w:r>
      </w:r>
    </w:p>
    <w:p>
      <w:pPr>
        <w:jc w:val="center"/>
      </w:pPr>
      <w:r>
        <w:r>
          <w:rPr>
            <w:rFonts w:ascii="Segoe UI" w:hAnsi="Segoe UI" w:eastAsia="Segoe UI"/>
            <w:sz w:val="32"/>
            <w:color w:val="000000"/>
            <w:b/>
          </w:rPr>
          <w:t>TARGETING ON FUNDRAISING OF NT$55,000,000 FOR ACADEMIC YEAR 2005</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16th general meeting of the Fundraising Committee was held at 1:30 pm on April 21, in the Chueh-sheng International Conference Hall on Tamsui Campus. The Committee decided on the fundraising target for academic year 2005, NT$55,000,000, to celebrate the 55th Founding Anniversary of Tamkang University. President Chang Horng-jinh, also Chairman of Fundraising Committee, encouraged everyone to do the utmost to achieve the target with this motto, “A life with dreams and expectations is the sweetest.” 
</w:t>
          <w:br/>
          <w:t>
</w:t>
          <w:br/>
          <w:t>During the meeting the Committee passed the motion for the “Double Five Campaign” and decided to enlarge the fundraising campaign during the 55th anniversary celebrations in the academic year 2005. The target in 2002 was NT$36,000,000, in both 2003 and 2004 NT$30,000,000; and it will be raised to NT$55,000,000 in 2005. Ten colleges will be asked to raise NT$50,000,000 between them, and the rest of the target will be met by the other units. The “Double Five Campaign” includes inviting large numbers of alumni to come to the anniversary celebrations and an “international exhibition of dolls”, which is being planned by the Office of Alumni Services and Resources Development. 
</w:t>
          <w:br/>
          <w:t>
</w:t>
          <w:br/>
          <w:t>President Chang told all the members of the Fundraising Committee that the fundraising process should be more streamlined so that people would find it easy to make a donation: raising NT$100,000,000 would be perfectly simple if each of the 170,000 TKU alumni donates NT$100 a month or NT$1000 a year. Donors can specify where they want their money to be used, while the departments and colleges can greatly develop their academic programs with this money. President Chang pointed out the significance of alumni’s contributions to the school and praised the Director of Alumni Services and Resources Development, Chen Min-nan, for his “journeying up and down the countries home and abroad to set up alumni associations, which will be remembered forever in the history of the school.” 
</w:t>
          <w:br/>
          <w:t>
</w:t>
          <w:br/>
          <w:t>At the meeting President Chang also presented certificates of appreciation to those departments, which promoted alumni activities and reached the fundraising target of 2002. Mr. Lo Sen, coordinator of the supervisory board of World Federation of Alumni Associations of Tamkang University, also presented certificates of appreciation to the departmental alumni associations, which promoted alumni activities; the chairs of these departments received the certificates on behalf of the associations. 
</w:t>
          <w:br/>
          <w:t>
</w:t>
          <w:br/>
          <w:t>The departments receiving thanks are of two categories: the first are those that promoted alumni activities with enthusiasm, and the second those that met the fundraising target for 2002. The first category includes departments of Chinese, History, Information and Library Science, Architecture, Civil Engineering, Electrical Engineering, Chemical Engineering, Aerospace Engineering, Business Administration, Accounting, Statistics, Spanish, Japanese, and Management, and the Graduate Institute of Industrial Economics. The second category includes departments of Chinese, History, Architecture, Electrical Engineering, Chemical and Materials Engineering, Computer Science and Information Engineering, International Trade, English, French, Management, and Architectural and Building Technology, and the Graduate Institute of Futures Studies.</w:t>
          <w:br/>
        </w:r>
      </w:r>
    </w:p>
  </w:body>
</w:document>
</file>