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5e36bdb12949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MASTERS PROGRAM IN HIGHER EDUCATION RESEARCH HAS BEEN APPROVED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(MOE) approved the establishment of TKU's Master's Program in the research in Higher Education on October 18th. The program, the first of this nature in Taiwan, and will recruit students (10) next semester onwards. It will train students with seminars, internship and research skills to become competent contributors to issues relating to the improvement of Taiwan's high education. 
</w:t>
          <w:br/>
          <w:t>
</w:t>
          <w:br/>
          <w:t>Dr. Yang-yi, the Director of the Center for Higher Education and Evaluation explains that this program is an answer to the problems that have been resulted from the rapid expansion Taiwan has been experiencing in the higher education segment over the past 10 years. In resolving these problems, Taiwan requires, she says, highly qualified professionals with a global vision who can combine theories and applications by their know-how and practical skills. Therefore, this program will provide talents with these qualities, who can plan and manage the overall national educational policy in order to enhance the quality as well as the world standing of Taiwan's higher education. 
</w:t>
          <w:br/>
          <w:t>
</w:t>
          <w:br/>
          <w:t>For graduation, apart from a dissertation, students on the program will have to fulfill a course requirement of 36 credits. The courses are divided into basic courses, mandatory specialized courses and optional specialized courses. Under the optional courses, they are further divided into Management of Higher Education and Policy and System in Higher Education. These courses mainly consist of a great degree of comparative studies, whereby students can develop a global vision without compromising local characteristics. Built upon this understanding, students can be truly original and creative in any renovation they can envisage for Taiwan's future.</w:t>
          <w:br/>
        </w:r>
      </w:r>
    </w:p>
  </w:body>
</w:document>
</file>