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1610bf6b2048d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623 期</w:t>
        </w:r>
      </w:r>
    </w:p>
    <w:p>
      <w:pPr>
        <w:jc w:val="center"/>
      </w:pPr>
      <w:r>
        <w:r>
          <w:rPr>
            <w:rFonts w:ascii="Segoe UI" w:hAnsi="Segoe UI" w:eastAsia="Segoe UI"/>
            <w:sz w:val="32"/>
            <w:color w:val="000000"/>
            <w:b/>
          </w:rPr>
          <w:t>CONFERENCE ON FUTURE STUDIES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Hosted by the Graduate Institute of Future Studies, the International Conference on “Global Soul, Global Mind and Action：From “Survival to Thriving” bring together several masters of future studies, a great scene not easily seen in Taiwan. As the Founder Clement C. P. Chang pointed out, “Tamkang’s practice of the triple “-izing” policy has achieved a brilliant record in futurization. It is an invaluable opportunity to invite so many masters of future studies to attend the conference. Hopefully, students can acquire deeper understanding of the field of future studies.”
</w:t>
          <w:br/>
          <w:t>The three-day conference is divided into four parts: two dialogues, three workshops, paper presentations, and round-table discussion. The topics of the two dialogues are the dialogue of humanities and technology, and the dialogue of the South and the North: the former presented by Michio Kaku and Ashis Nandy from different perspectives, and the latter by Ervin Laszlo and Ian Lowe. 
</w:t>
          <w:br/>
          <w:t>
</w:t>
          <w:br/>
          <w:t>More than twenty papers, covering topics on technology, society, politics, economy and future environment, will be presented by scholars including Richard Slaughter (President of World Futures Studies Federation), Christopher Jones (General Secretary of World Futures Studies Federation), Sesh Velamoor (Director of Foundation for the Future) and Clement Bezold (President of Institute for Alternative Futures). (~Han-yu Huang )</w:t>
          <w:br/>
        </w:r>
      </w:r>
    </w:p>
  </w:body>
</w:document>
</file>