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17c0098ddef48a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632 期</w:t>
        </w:r>
      </w:r>
    </w:p>
    <w:p>
      <w:pPr>
        <w:jc w:val="center"/>
      </w:pPr>
      <w:r>
        <w:r>
          <w:rPr>
            <w:rFonts w:ascii="Segoe UI" w:hAnsi="Segoe UI" w:eastAsia="Segoe UI"/>
            <w:sz w:val="32"/>
            <w:color w:val="000000"/>
            <w:b/>
          </w:rPr>
          <w:t>COLLEGE OF INTERNATIONAL STUDIES HOLDS RECRUITING FORUM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promote the recruitment of new graduate students, College of International Studies will hold recruiting forum on 2 P.M., February 17, 2006, at Room T701, Chingsheng Building. This is the first time for the Dean of College of International Studies to host the recruiting forum and inform the participant some secret keys to the success of passing the exam. Those who are interested in this concern, please register at Office of Academic Affairs.
</w:t>
          <w:br/>
          <w:t>
</w:t>
          <w:br/>
          <w:t>The College of International Studies encompasses 8 institutes, i.e., Graduate Institutes of European Studies, American Studies, Latin American Studies, International Affairs and Strategic Studies, Japanese Studies, Russian Studies, China Research, Southeast Asia Studies. These institutes generally focus on the fields of district politics and economics. Among them, Graduate Institutes of European Studies, American Studies, and International Affairs and Strategic Studies contain both master and Ph.D. programs. (~ Chi-szu Chen )</w:t>
          <w:br/>
        </w:r>
      </w:r>
    </w:p>
  </w:body>
</w:document>
</file>