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1638d190b343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STUDENTS MOVED INTO LANYANG CAMPUS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Lanyang Campus has been authorized to be used since the beginning of this semester. About 200 students and teachers moved into the new campus, and joined the opening ceremony of the third semester, hosted by President C. I. Chang, on 14:30, February 15, at Clement Chang International Conference Hall. Students all felt excited in the new studying and living environment.
</w:t>
          <w:br/>
          <w:t>
</w:t>
          <w:br/>
          <w:t>Different from Tamsui Campus, Lanyang Campus adopts the British educational system, with four semesters a year, 90% of the courses taught in English, and sending all junior students abroad for a year. Last semester, the students and faculty of Lanyang Campus had to stay in Tamsui Campus before the authorization of the usage of the new campus by MOE. When they moved to Lanyang, they were welcomed by the teachers and students of the neighboring Fo Guang University.
</w:t>
          <w:br/>
          <w:t>
</w:t>
          <w:br/>
          <w:t>Responding to the new campus and life style, a student from Department of Information and Communications Technology Management confessed that “I feel excited to expect the new life; however, I am a little afraid of the seclusion and loneliness, since Lanyang is not so prosperous and boisterous as Tamsui.” Tseng Hsian-yi, Department of Software Engineering, indicates that “I think the seclusion of the environment will reduce the class-skipping rate for the student.” (~ Chi-szu Chen )</w:t>
          <w:br/>
        </w:r>
      </w:r>
    </w:p>
  </w:body>
</w:document>
</file>