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192a94e7c14e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636 期</w:t>
        </w:r>
      </w:r>
    </w:p>
    <w:p>
      <w:pPr>
        <w:jc w:val="center"/>
      </w:pPr>
      <w:r>
        <w:r>
          <w:rPr>
            <w:rFonts w:ascii="Segoe UI" w:hAnsi="Segoe UI" w:eastAsia="Segoe UI"/>
            <w:sz w:val="32"/>
            <w:color w:val="000000"/>
            <w:b/>
          </w:rPr>
          <w:t>TKU CONTRACTS SISTER SCHOOL WITH THE UNIVERSITY OF AIZU FROM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Several visitors from The University of Aizu (Japan)---President Tetsuhiko Ikegami, Hiroyuki Sagawa (Director of Institute of International Strategies) and Kenta Ofuji (in charge of the institute’s international activities)---came to Tamkang last week. President Tetsuhiko Ikegami indicated, “The University of Aizu specializes in computer software and long-distance teaching, and eagerly looks forward to instant academic exchanges with TKU.”
</w:t>
          <w:br/>
          <w:t>
</w:t>
          <w:br/>
          <w:t>President Flora C. I. Chang agreed to exchange research resources, faculty and researchers, students, and cooperation of production and academy between two schools. The University of Aizu is TKU’s 17th sister school in Japan.
</w:t>
          <w:br/>
          <w:t>
</w:t>
          <w:br/>
          <w:t>As President Tetsuhiko Ikegami pointed out, both The University of Aizu and TKU emphasize internationalization. As he further illustrates, “40% of teachers are not Japanese, students are from many different countries, and, therefore, variously accented English can be heard on campus anytime.” The University of Aizu emphasizes English: 50% of undergraduate courses are conducted in English, and graduate programs are all-English. And its Internet learning is highly distinctive in Japan. (~ Han-yu Huang )</w:t>
          <w:br/>
        </w:r>
      </w:r>
    </w:p>
  </w:body>
</w:document>
</file>