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3a94dfa9c2e433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643 期</w:t>
        </w:r>
      </w:r>
    </w:p>
    <w:p>
      <w:pPr>
        <w:jc w:val="center"/>
      </w:pPr>
      <w:r>
        <w:r>
          <w:rPr>
            <w:rFonts w:ascii="Segoe UI" w:hAnsi="Segoe UI" w:eastAsia="Segoe UI"/>
            <w:sz w:val="32"/>
            <w:color w:val="000000"/>
            <w:b/>
          </w:rPr>
          <w:t>FUTURE SITUATIONS OF ASIA PACIFIC WILL BE EXAMINED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Graduate Institute of the International Relations will meet its counterpart from the American University (AU) next Tuesday at TKU on a conference on the New Developments of Asia Pacific and the World to discuss issues regarding Taiwan’s relationship with Asia Pacific and the rest of the world, global economic development, and Taiwan-American relations and its extended network. The conference will be held at the Ching Sheng International Conference Hall, and opened by the Vice Director of the Northern American Office of the Ministry of Foreign Affairs.
</w:t>
          <w:br/>
          <w:t>
</w:t>
          <w:br/>
          <w:t>The Dean of the International Relations Institute of the AU, Dr. Louis Goodman, and four of his colleagues will attend and give presentations. Apart from them, there will 8 more presentations given by Tamkang’s faculty members. After the conference, two universities will sit down to negotiate the possibility of having a dual degree system established.</w:t>
          <w:br/>
        </w:r>
      </w:r>
    </w:p>
  </w:body>
</w:document>
</file>