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be092667c0e4bf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652 期</w:t>
        </w:r>
      </w:r>
    </w:p>
    <w:p>
      <w:pPr>
        <w:jc w:val="center"/>
      </w:pPr>
      <w:r>
        <w:r>
          <w:rPr>
            <w:rFonts w:ascii="Segoe UI" w:hAnsi="Segoe UI" w:eastAsia="Segoe UI"/>
            <w:sz w:val="32"/>
            <w:color w:val="000000"/>
            <w:b/>
          </w:rPr>
          <w:t>STUDENTS FROM ALL CORNERS OF THE WORLD GATHER AT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special semester opening ceremony for international students was held last Monday, Sept. 11 at the Ching Sheng International Conference Hall, presided by Dr. Feng Chao-kang, the Vice President for Academic Affairs (sitting in the center of the picture). This year, there are nearly 50 international students coming from France, Czech Republic, Austria, Germany, Korea, Japan, and Panama. The biggest group is of the 8 students from Reitaku University of Japan (the first from left in the picture is the lecturer from RU who accompanied his students to TKU).
</w:t>
          <w:br/>
          <w:t>
</w:t>
          <w:br/>
          <w:t>During the ceremony, students were invited to introduce themselves and talked briefly about the reasons of being here. One of the memorable introductions was from a student of Nagasaki University of Foreign Languages, who chose Taiwan for the “beauty” of the complex Chinese writing system and culture. For better immersion, he is even contemplating of suspending his studies in Japan so that he can get a job in Taiwan, in Chinese, he emphasized.</w:t>
          <w:br/>
        </w:r>
      </w:r>
    </w:p>
  </w:body>
</w:document>
</file>