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9add9138ded47d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COURSES ON INFORMATION SECURITY ARE AVAILABLE TO MANAGEMENT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At the beginning of this semester a program entitled Tamkang Information Security Management was set up by the College of Management, aiming to enhance the knowledge of information security, risk assessment and corporate information security for the Master’s students in the college. 
</w:t>
          <w:br/>
          <w:t>
</w:t>
          <w:br/>
          <w:t>The Chair of the Department of Information Management, Shaw Ruey-shiang explains that this program comprises of four mandatory courses: Introduction to Information Security, Information Security Management, Electronic Commerce Security and Information Security Law. They will be complemented by some hands-on practices and internship at relevant enterprises. Faculty members will come from various disciplines such as Information Management, Computer Science and Information engineering, Public Administration, and Accounting. Furthermore, the program will also teach about the operation of the international accredited certification body, Bsi-ISO27001 based in the UK so that students will understand the importance of standardization and strive to reach that level. (~ Ying-hsueh Hu )</w:t>
          <w:br/>
        </w:r>
      </w:r>
    </w:p>
  </w:body>
</w:document>
</file>