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8266de434042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國科會專題鼓勵多年期計畫案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暐婷淡水校園報導】國科會補助96年度專題研究計畫，自即日起接受申請，本校至95年12月24日截止收件。研究發展處研發長陳幹男表示，今年國科會的研究計畫申請，鼓勵申請多年期研究計畫，個別型或整合型研究計畫均得提出申請，96年度自然科學、工程技術及生物醫農類則以受理多年期研究計畫為原則。
</w:t>
          <w:br/>
          <w:t>
</w:t>
          <w:br/>
          <w:t>56次校務會議已通過修正教師聘任待遇服務辦法，增列「專任助理教授每週授課時數以10小時為上限，並不得於校外兼課。」的規定，希望老師們集中時間作研究。主要的用意不外乎期待新進教師，在短期間內能儘快地融入本校大家庭，適應大學的教學和研究環境。
</w:t>
          <w:br/>
          <w:t>
</w:t>
          <w:br/>
          <w:t>陳幹男表示，學校根據各系所的學術領域屬性，提供新進教師研究室空間和電腦設備外，另外編列部分研究需要的開辦費，期待教師的研究儘快上路。尤其國科會對於新進5年內教師的專題研究計畫案申請，有較優待的審查制度，新老師們一定要把握良機。
</w:t>
          <w:br/>
          <w:t>
</w:t>
          <w:br/>
          <w:t>近年大學的聲望，經常建立於高等教育評鑑的評比和教育部的校務成效評鑑結果，研究成果包括國科會的專題研究計畫案和一般委託或產學合作研究計畫案等件數，期刊論文和會議論文的篇數，專書和發明專利等數據，均列入考評的具體依據。</w:t>
          <w:br/>
        </w:r>
      </w:r>
    </w:p>
  </w:body>
</w:document>
</file>