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7746934b643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教學卓越－－敦品勵學 全人教育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大學論壇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文/學生事務處提供
</w:t>
          <w:br/>
          <w:t>
</w:t>
          <w:br/>
          <w:t>大學是專業人才的養成所，在全球化競爭中，必須發展多元化的社會功能，除了追求學術卓越，更要著眼於培養品德健全兼具公民素養的人才。學生事務處負責的教學卓越計畫分項計畫二，重點在整合各項輔導資源，創造一個利於個人學習的空間，促進個體自我實現，進而互相鼓勵、扶持，凝聚團隊共同目標與價值，形塑「共好」的優質校園文化。
</w:t>
          <w:br/>
          <w:t>本項計畫規劃了五個方案，重點分述如下：
</w:t>
          <w:br/>
          <w:t>
</w:t>
          <w:br/>
          <w:t>方案一、輔導資源e點靈：建置輔導資源共享網絡，蒐整學生學業、生活方面的資訊，使相關輔導人員經由e化系統，即時瞭解學生學習及生活動態。未來更將增加視訊輔導功能，使蘭陽校園及大三出國留學同學均能突破時空限制，受到全方位的照顧。
</w:t>
          <w:br/>
          <w:t>
</w:t>
          <w:br/>
          <w:t>方案二、激發學習潛能暨補救教學：學習輔導工作係以全體學生為對象，目標在協助學生面對各方面壓力時，能獲得外在支援，高度統整學習及社會層面。並強化學生學習動機與學習能力，照顧學生個別需要，提升學習效能。
</w:t>
          <w:br/>
          <w:t>
</w:t>
          <w:br/>
          <w:t>方案三、育成樸毅青年：開辦系列培訓課程，透過服務、領導、執行力、品德養成、人際溝通五大面向的特質訓練，引導學生注重品格操守，強調正確的價值觀，並善用同儕力量，培養具備「樸實剛毅」精神之淡江青年。
</w:t>
          <w:br/>
          <w:t>
</w:t>
          <w:br/>
          <w:t>方案四、開發創意思維：藉由創意設計競賽及成果發表會，引導學生學習獨立思考、團隊合作、執行力，以提高未來在社會與國際上的競爭力。
</w:t>
          <w:br/>
          <w:t>
</w:t>
          <w:br/>
          <w:t>方案五、推展「學生宿舍同儕輔導學習」：鼓勵住宿學生參與宿舍組織運作、提供各項宿舍服務，以培養個人能力，並營造宿舍學習氣氛。</w:t>
          <w:br/>
        </w:r>
      </w:r>
    </w:p>
  </w:body>
</w:document>
</file>