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a41e7d23d404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創辦人專文　為第四波定調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【賴映秀�淡水校園報導】本校創辦人張建邦近日為淡江第四波定調，發表《淡江第四波──具有心靈卓越的淡江文化精髓（The Fouth Wave of Tamkang—Tamkang University Culture: Excellence With a Soul）》專文，並譯有英文及日文版，發送外賓。
</w:t>
          <w:br/>
          <w:t>
</w:t>
          <w:br/>
          <w:t>該文除重申淡江自第一波至第四波的歷程，並舉克難坡、五虎碑等文化象徵來闡釋淡江文化，認為淡江校園發展已進入「四個校園」的完整架構，應加入「企業管理模式」展現「多元一體」的新貌。該書已由校長致贈全校同仁，本報亦將分次邀請師生撰文回應（詳見本期二版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463040" cy="2097024"/>
              <wp:effectExtent l="0" t="0" r="0" b="0"/>
              <wp:docPr id="1" name="IMG_811093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4/m\3f53aa0e-d3b1-440f-9813-10aa996e0eda.jpg"/>
                      <pic:cNvPicPr/>
                    </pic:nvPicPr>
                    <pic:blipFill>
                      <a:blip xmlns:r="http://schemas.openxmlformats.org/officeDocument/2006/relationships" r:embed="R0916ebd334d64c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63040" cy="2097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916ebd334d64c2a" /></Relationships>
</file>