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8cf3bc64d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四個管理模式 打造藍海大學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撰寫的專文《淡江第四波－－淡江文化精髓》已發行全校同仁。本報續刊「心靈卓越的第四波」專題，本週討論主題為該書第伍節「四個管理模式與藍海策略」。創辦人在書中表示，本校自1980年代起充分運用「同僚」、「官僚」、「政治」3種管理模式，2006年起加入「企業」模式成為四個管理模式，使得本校運作更為周延而成熟。各個管理模式有其優缺點和適用環境，而高等教育已經進入激烈競爭的時代，如何有效運用管理模式，採取雙贏的藍海策略，才是優勝之道。</w:t>
          <w:br/>
        </w:r>
      </w:r>
    </w:p>
  </w:body>
</w:document>
</file>