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999cfb80c47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商管兩院申請AACSB認證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【淡水校園訊】商學院、管理學院近日已申請國際高等商管學院聯盟（The Associa-tion to Advance Collegiate Schools of Busi-ness，簡稱AACSB）認證。本申請案召集人商學院院長胡宜仁表示，有了國際認證，就好像有品牌加持一樣，加上淡江商管學院的堅強實力，如果申請通過，不論在招生，還是學院的國際知名度上都有加分效果。
</w:t>
          <w:br/>
          <w:t>
</w:t>
          <w:br/>
          <w:t>AACSB組織是目前國際上最負盛名，且具備國際學術公信力的商管學門評鑑，目前全球通過其評鑑的學術機構超過五百所學校，包括美國的哈佛大學、英國的倫敦商學院、日本的慶應大學等名校。台灣學校中，中山、輔大、政大已取得AACSB認證。本校申請認證是由前管理學院院長陳定國在任時所提出，胡宜仁院長94學年上任後開始著手準備。
</w:t>
          <w:br/>
          <w:t>
</w:t>
          <w:br/>
          <w:t>然而要通過評鑑並非易事，第一階段須先加入會員並通過資格審查，商管學院10系所（公行系、運管系因為性質特殊，校長核定不申請）和秘書室、人事室、會計室等相關單位須以英文填寫申請表單，描述現況。第二階段撰寫自我評鑑報告書，AACSB並會指派輔導人員到校訪視，與學校開會討論報告書內容，如果認為報告書有不詳盡之處，訪談後會提出建議，申請學院須作改進。第三階段為實地訪查，與校長、副校長、會計長及相關院系主管面對面訪談。整個過程可能需時3至5年，取得認證後滿3年，即須提出持續改善報告，第5年後，正式決定是否繼續核發認證。
</w:t>
          <w:br/>
          <w:t>
</w:t>
          <w:br/>
          <w:t>胡宜仁說，AACSB對於專任老師比例要求嚴格，而商管學院最弱之處就在於專任老師比例偏低，而且學院獲得的經費也略顯遜色，要順利通過申請，組織體質必須先大幅調整才行。他指出，申請認證須長期投入、全力以赴，需要各單位協調合作才能成功。</w:t>
          <w:br/>
        </w:r>
      </w:r>
    </w:p>
  </w:body>
</w:document>
</file>