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9fad06f8b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最後一枝影響時局的筆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導讀/林金源(經濟系副教授)
</w:t>
          <w:br/>
          <w:t>
</w:t>
          <w:br/>
          <w:t>解嚴之後，台灣雖然百家爭鳴，但知識分子的影響力反被稀釋。更有人噤若寒蟬，或採「乘桴浮於海」的消極態度。相較之下，憑著如椽之筆卻能主導輿論數十載，並且影響兩蔣施政的王作榮，應該算是幸運的了！
</w:t>
          <w:br/>
          <w:t>
</w:t>
          <w:br/>
          <w:t>1964年灰心離開公職之際，王作榮寫了「台灣經濟發展之路」，此文（見本書第五章）不僅造成洛陽紙貴，更引起總統注意，兩度交代官員必須閱讀。類似此文，本書收錄歷年來王氏有關台灣經濟發展的重要言論，以及如何建設現代國家的構想與理念。
</w:t>
          <w:br/>
          <w:t>
</w:t>
          <w:br/>
          <w:t>王作榮任中時報系主筆期間，某晚報社突來求文。王氏雖處觥籌交錯之間，卻能隨手取來餐巾紙，一揮而就寫下思緒縝密、擲地有聲的一篇社論。他的流暢文筆，讓討論經濟問題的文章不再生硬難讀。
</w:t>
          <w:br/>
          <w:t>
</w:t>
          <w:br/>
          <w:t>精細分工讓眼科醫師只治眼疾，心臟外科絕不割盲腸。現代經濟學家也常鑽入經濟領域中的一個角落，學術研究讓他無暇、不願顧及與經濟問題息息相關的政治環境。經濟學越來越像物理學，經濟學家也窄化成專科醫生。王作榮的寬廣視野與歷史縱深，豐富了經濟學家的角色。與其稱他另類經濟學家，他寧可被稱為以天下興亡為己任的「士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66544"/>
              <wp:effectExtent l="0" t="0" r="0" b="0"/>
              <wp:docPr id="1" name="IMG_ac307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9c21161b-8511-49ff-a239-30517f56e49d.jpg"/>
                      <pic:cNvPicPr/>
                    </pic:nvPicPr>
                    <pic:blipFill>
                      <a:blip xmlns:r="http://schemas.openxmlformats.org/officeDocument/2006/relationships" r:embed="R7d2bee777f724b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66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2bee777f724bbd" /></Relationships>
</file>