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65923ffa8e84a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690 期</w:t>
        </w:r>
      </w:r>
    </w:p>
    <w:p>
      <w:pPr>
        <w:jc w:val="center"/>
      </w:pPr>
      <w:r>
        <w:r>
          <w:rPr>
            <w:rFonts w:ascii="Segoe UI" w:hAnsi="Segoe UI" w:eastAsia="Segoe UI"/>
            <w:sz w:val="32"/>
            <w:color w:val="000000"/>
            <w:b/>
          </w:rPr>
          <w:t>DEPARTMENT OF ARCHITECTURE IS TO ESTABLISH A NATIONAL ALUMNI ASSOCIATION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After the Department of Chemical and Materials Engineering established the first national alumni association, the Alumni Association of Department of Architecture will follow suit. Department of Architecture will register with its official title as a social group to the Ministry of the Interior (MOI), and raises funds in the name of a legal foundation. The founding ceremony of this association will be held on Oct. 27 at the alumni assembly hall of Taipei Campus. Jin-xiong Liu, the chairperson  of the Organizing Committee and the former alumni association will take charge of the convention, and elect a new chairperson according to the new statute.
</w:t>
          <w:br/>
          <w:t>
</w:t>
          <w:br/>
          <w:t>The Alumni Association of Department of Architecture has been established for two decades, with over 2,000 alumni. Since Jin-xiong Liu took the position in last April, he has actively communicated with students graduated in different year, issued E-papers and maintained websites of the Alumni Association. In the end of last December, he recruited forty-five alumni as originators to apply for establishing a national organization from MOI. He said, “after registering as a formal alumni organization, we can not only maintain the friendship of the alumni but expect to raise funds to sponsor the development of the department.” ( ~Hui-ling Chang )</w:t>
          <w:br/>
        </w:r>
      </w:r>
    </w:p>
  </w:body>
</w:document>
</file>