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a497d2d41b8477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694 期</w:t>
        </w:r>
      </w:r>
    </w:p>
    <w:p>
      <w:pPr>
        <w:jc w:val="center"/>
      </w:pPr>
      <w:r>
        <w:r>
          <w:rPr>
            <w:rFonts w:ascii="Segoe UI" w:hAnsi="Segoe UI" w:eastAsia="Segoe UI"/>
            <w:sz w:val="32"/>
            <w:color w:val="000000"/>
            <w:b/>
          </w:rPr>
          <w:t>GRADUATE INSTITUTE OF CHINESE LINGUISTICS AND DOCUMENTATION HOSTED INTERNATIONAL CONFERENCE AT NPM.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Graduate Institute of Chinese Linguistics and Documentation, National Palace Museum, and Institute of Chinese Literature and Philosophy, Academia Sinica co-held “ International Conference of Bibliography and Textual Criticism: Rebuilding and Derivation” at Audience Hall, National Palace Museum on Nov. 15 and 16 (Thursday and Friday.)  
</w:t>
          <w:br/>
          <w:t>
</w:t>
          <w:br/>
          <w:t>The conference invited many local and international scholars, including Dr. Nagatomi Aochi of Waseda University (Japan), scholars from Chung-ang University (Korea), Dr. Li Chin Chung, Dean of Chinese Institute of National Library Development, scholars from Renmin University of China, Chinese Academy of Sciences, Shandong University, Shandong QUFU Normal University, Shanghai East China Normal University, and Sun Yat-Sen University. Welcome all teachers, students, and those who are interested to attend. (~ Shelley Tang )</w:t>
          <w:br/>
        </w:r>
      </w:r>
    </w:p>
  </w:body>
</w:document>
</file>