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49c241832a45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營造淡江王牌 掌握外卡效應</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今年本校教學與行政革新研討會的主題是「轉變中的淡江─品質屋的建立、外卡效應的掌握及全球集體協作的參與」。對於轉變中的淡江如何有效掌握與管理外卡效應獲得熱烈討論。
</w:t>
          <w:br/>
          <w:t>「外卡」（Wild Card）首見於1992年由法國未來發展委員會，哥本哈根未來研究學院及美國未來研究所等三個未來學研究機構所共同出版的著作中。二位德國學者Angela Steinmueller和Karlheinz Steinmueller認為「外卡」是「未來的發展或事件，其透過一種相當微小的發生率及對商業交易過程具有潛在的深遠影響而表現出來。」它可能是一些意外干擾事件，具有突發、不連續性、極小可能、深遠影響、驚奇意外及「未來地震」的特質。當社會變遷越快，不確定性與不穩定性越高，任何一張「外卡」的出現都會改變整體社會，甚至帶來深遠的影響。植基於此，不僅預測未來成為必要，營造自我的王牌以掌握並管理外卡效應變得更重要。面對競爭日益白熱化的教育產業，應具備此等觀念與作為，始能搶奪機先，創造優勢。
</w:t>
          <w:br/>
          <w:t>張創辦人建邦博士面對此等不確定性的未來，去年早已揭示本校由官僚模式、同僚模式與政治模式，加入了「企業管理」模式而為四大管理模式。張創辦人以未來學家的視野，進一步強調外卡管理的重要性，並指出本校面臨外卡所營造的王牌主要包括： 2005年8月教育部大學評鑑結果，本校在全部4項專業領域、6項校務項目評鑑中表現優異，榮獲私校一組第1名；本校連續10年蟬聯天下Cheers雜誌調查的1000大企業最愛大學生中私校第1名；世界大學網路排名本校今年為台灣第7名、私校第1名、亞洲第31名、全球第463名；1999年榮獲世界未來研究聯盟頒發「全球年度最佳未來學研究機構獎」，肯定本校在未來學研究的成果及貢獻；本校電機系師生參加2003、2006及今年的「FIRA世界盃機器人足球賽」獲得世界盃冠軍；本校資圖系參加2006年IFLA張貼論文（Post Paper）競賽，以「台灣遊民讀者與圖書館服務現況」，獲得世界第1名，亦為台灣首次獲獎；1990年本校擁有全國首座且獨一無二船型建築的「海事博物館」；文錙藝術中心、遠距教學組及資訊系長期團隊合作，成功研發「e筆書寫系統」，今年並透過產學合作與廠商簽約製作；「淡江大學蘭陽校園整體開發學院一、二之第一期建築工程」今年獲得內政部頒發綠建築證書與標章，以及行政院第五屆優良綠建築作品獎；本校盲生資源中心研製成功金點點字觸摸顯示器，2002年「視窗導盲鼠系統」開發成功，使視障者終於可以操作中文Windows系統，並成為國內唯一視障研發單位。這些主要王牌成為本校掌握外卡效應的基石。換言之，面對越來越模糊的未來環境，本校早有以待之。
</w:t>
          <w:br/>
          <w:t>　　張校長家宜博士並以寬闊且前瞻胸襟擘畫本校的「品質屋」，清楚指出本校以「承先啟後，塑造社會新文化，培育具心靈卓越的人才」為使命，以「弘揚私人興學的教育理念，創造精緻卓越的學術王國」為願景，深刻勾勒出本校全體師生未來努力的方向與奉獻學術的職志。
</w:t>
          <w:br/>
          <w:t>由此可知：在遽變且競爭的環境中，本校不僅擁有未來奮鬥的卓越願景與作為持續性動力的使命；更重要的，在面對不確定性的環境中，本校早已清楚認知，未來環境的風險需要及早營造自我的王牌，以掌握並管理外卡效應。這或許也是本校因應外卡效應的王牌吧！</w:t>
          <w:br/>
        </w:r>
      </w:r>
    </w:p>
  </w:body>
</w:document>
</file>