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ca342daae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建築系亮眼成績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◎在1999年遠見雜誌的調查評鑑中，本校建築系超越許多國立大學及全國30多所建築科系學校，名列全國第二。
</w:t>
          <w:br/>
          <w:t>◎2007年10月的工程評鑑獲評為數位學習表現特優。
</w:t>
          <w:br/>
          <w:t>◎近三年，建築系大學部畢業生，每年平均有15至20位進入美國排名前10名之建築研究所（約佔應屆畢業人數的四分之一至三分之一左右，另外約有20位的同學進入國內研究所就讀），以過去三年進入美國「長春藤聯盟」研究所的學生為例，至少有七位進入哈佛大學、十多位進入哥倫比亞大學、七位進入賓州大學，還有兩位進入加州柏克萊大學就讀；另外有數位同學進入英國、荷蘭、義大利與瑞士等歐洲國家的一流建築研究所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6608" cy="4876800"/>
              <wp:effectExtent l="0" t="0" r="0" b="0"/>
              <wp:docPr id="1" name="IMG_2b2b94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3012cf11-1cbc-4612-9e8f-ce021b7cb2ed.jpg"/>
                      <pic:cNvPicPr/>
                    </pic:nvPicPr>
                    <pic:blipFill>
                      <a:blip xmlns:r="http://schemas.openxmlformats.org/officeDocument/2006/relationships" r:embed="Rccb4728a6338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49552"/>
              <wp:effectExtent l="0" t="0" r="0" b="0"/>
              <wp:docPr id="1" name="IMG_bf0fd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35ca5651-bcef-464d-84e5-b71fefd53b9f.jpg"/>
                      <pic:cNvPicPr/>
                    </pic:nvPicPr>
                    <pic:blipFill>
                      <a:blip xmlns:r="http://schemas.openxmlformats.org/officeDocument/2006/relationships" r:embed="Rdc0d258e5ee7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1168" cy="4876800"/>
              <wp:effectExtent l="0" t="0" r="0" b="0"/>
              <wp:docPr id="1" name="IMG_328ffe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a3b44834-e005-4c05-a13d-967f26e1f238.jpg"/>
                      <pic:cNvPicPr/>
                    </pic:nvPicPr>
                    <pic:blipFill>
                      <a:blip xmlns:r="http://schemas.openxmlformats.org/officeDocument/2006/relationships" r:embed="R9c0c736f566d4c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1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4728a63384d81" /><Relationship Type="http://schemas.openxmlformats.org/officeDocument/2006/relationships/image" Target="/media/image2.bin" Id="Rdc0d258e5ee74c10" /><Relationship Type="http://schemas.openxmlformats.org/officeDocument/2006/relationships/image" Target="/media/image3.bin" Id="R9c0c736f566d4c59" /></Relationships>
</file>