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d07d431f767408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715 期</w:t>
        </w:r>
      </w:r>
    </w:p>
    <w:p>
      <w:pPr>
        <w:jc w:val="center"/>
      </w:pPr>
      <w:r>
        <w:r>
          <w:rPr>
            <w:rFonts w:ascii="Segoe UI" w:hAnsi="Segoe UI" w:eastAsia="Segoe UI"/>
            <w:sz w:val="32"/>
            <w:color w:val="000000"/>
            <w:b/>
          </w:rPr>
          <w:t>TKU RAISES THE ENGLISH PROFICIENCY LEVEL FOR GRADUATION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At a recent meeting on academic affairs, the English proficiency level of TKU outgoing students was discussed and a new consensus was reached. In this consensus, the graduation requirement has been raised from the Beginner’s Level to the Intermediate Level of GEPT or any equivalent to this level in other established tests. It was also decided that those who do not pass the test must take a two-credit English course to fulfill the graduation requirement. Graduate students can do this anytime before graduation, while undergraduates can only take such a course from their third year onwards. 
</w:t>
          <w:br/>
          <w:t>
</w:t>
          <w:br/>
          <w:t>This idea was first proposed by Dr. Sung Mei-hwa, the dean of the College of Foreign Languages and Literatures in a separate meeting on administrative affairs. Hopefully with the raised proficiency requirement, students will work harder to improve their English. ( ~Ying-hsueh Hu )</w:t>
          <w:br/>
        </w:r>
      </w:r>
    </w:p>
  </w:body>
</w:document>
</file>