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9946df5b564b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DR. HSU CHAWN-YANG, ASSISTANT PROFESSOR OF DEPT. OF MASS COMMUNICATION, VISITED STOCKHOLM, SWEDEN TO READ HIS PAPER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Hsu Chawn-yang, Assistant Professor of Department of Mass Communication, had traveled to Stockholm, Sweden to attend the annual International Association for Media and Communication Research (IAMCR) Congress this summer. “I have met many foreign scholars and experts in the field and had discussed with each other on various issues on media,” said Hsu, “I have learned a lot in this trip.”
</w:t>
          <w:br/>
          <w:t>
</w:t>
          <w:br/>
          <w:t>IAMCR is the worldwide professional organization in the field of media and communication research. Its members promote global inclusiveness and excellence within the best traditions of critical research in the field. The IAMCR’s congress is its annual event.
</w:t>
          <w:br/>
          <w:t>
</w:t>
          <w:br/>
          <w:t>During the congress, Dr. Hsu delivered a paper entitled, “Constructing the Chinese Identity in America: A Preliminary Analysis of Chinese American Community Media.” Through the analysis of ethnic media, Chinese Yellow Pages, an Atlanta-based booklet functions as the information service and the community bulletin as well, the paper is expected to explain the process of cultural hybridization in Chinese American society, and the findings may contribute to an understanding of Chinese immigrants’ identity, Hsu said. ( ~Yeh Yun-kai )</w:t>
          <w:br/>
        </w:r>
      </w:r>
    </w:p>
  </w:body>
</w:document>
</file>