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2be576cba49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）要利用錄音帶或CD上的音樂，利用人
</w:t>
          <w:br/>
          <w:t>      只要徵得錄音帶或CD著作財產權人
</w:t>
          <w:br/>
          <w:t>     （即唱片公司）的同意，不必再得到音
</w:t>
          <w:br/>
          <w:t>      樂著作之著作財產權人的同意。
</w:t>
          <w:br/>
          <w:t>2.（  ）在百貨公司、餐廳、戲院及KTV等營
</w:t>
          <w:br/>
          <w:t>      業場所，播放錄音帶或伴唱帶，要取得
</w:t>
          <w:br/>
          <w:t>      音樂著作財產權人的同意。
</w:t>
          <w:br/>
          <w:t>3.（  ）美術蒐藏家購買多幅當代畫家名畫，
</w:t>
          <w:br/>
          <w:t>      決定舉行展覽，主辦單位可以直接在說
</w:t>
          <w:br/>
          <w:t>      明書內印製展出作品予以解說。
</w:t>
          <w:br/>
          <w:t>4.（  ）攝影著作的著作財產權存續期間，是
</w:t>
          <w:br/>
          <w:t>      從創作完成時起算，直到著作公開發表
</w:t>
          <w:br/>
          <w:t>      後50年為止。
</w:t>
          <w:br/>
          <w:t>5.（  ）按照施工順序圖完成一件產品實物，
</w:t>
          <w:br/>
          <w:t>      是屬於實施的範圍，並沒有違反著作權
</w:t>
          <w:br/>
          <w:t>      法。
</w:t>
          <w:br/>
          <w:t>答案：1.（&amp;#215;） 2.（○） 3.（○） 4.（○）
</w:t>
          <w:br/>
          <w:t>      5.（○）
</w:t>
          <w:br/>
          <w:t>  【第1題說明：利用錄音帶或CD上的音樂，必須分別得到錄音著作及音樂著作著作財產權人之同意或授權。】</w:t>
          <w:br/>
        </w:r>
      </w:r>
    </w:p>
  </w:body>
</w:document>
</file>