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5d397b2de64a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736 期</w:t>
        </w:r>
      </w:r>
    </w:p>
    <w:p>
      <w:pPr>
        <w:jc w:val="center"/>
      </w:pPr>
      <w:r>
        <w:r>
          <w:rPr>
            <w:rFonts w:ascii="Segoe UI" w:hAnsi="Segoe UI" w:eastAsia="Segoe UI"/>
            <w:sz w:val="32"/>
            <w:color w:val="000000"/>
            <w:b/>
          </w:rPr>
          <w:t>ETTODAY’S “FACING THE REAL TAIWAN” VISITED LANYANG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reputation of the green construction of Lanyang Campus is very well-known. ETToday’s program “Facing the Real Taiwan” production team came to film the green construction of Lanyang Campus on Dec. 2. In the interview, Global Politics and Economics Class 1 representative, Zhi-yuan Gao said that when he first glanced at the Campus facing the Lanyang plain and looking out into the distance of the Pacific Ocean, his mood was thrillingly elevated and his horizon was widely broadened. The whole construction of the Campus is very unique with glass curtains. The natural lighting and ventilation of both the classrooms and the dormitories are very good. The air-conditioning systems are rarely used. The Lanyang Campus is rich in ecology and green beautification. Solar energy receivers, sensory induction water taps, garbage reduction, kitchen waste elimination machines, dirty water processing and ecological water cycle equipment, all well accord with the green construction design concept. ( ~Dean X. Wang )</w:t>
          <w:br/>
        </w:r>
      </w:r>
    </w:p>
  </w:body>
</w:document>
</file>