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48434db6a0498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740 期</w:t>
        </w:r>
      </w:r>
    </w:p>
    <w:p>
      <w:pPr>
        <w:jc w:val="center"/>
      </w:pPr>
      <w:r>
        <w:r>
          <w:rPr>
            <w:rFonts w:ascii="Segoe UI" w:hAnsi="Segoe UI" w:eastAsia="Segoe UI"/>
            <w:sz w:val="32"/>
            <w:color w:val="000000"/>
            <w:b/>
          </w:rPr>
          <w:t>TKU RANKED AS NO. 491 IN “RANGING WEB OF WORLD UNIVERSITIES,” NO. 1 IN PRIVATE UNIVERSITIES IN TAIWAN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latest statistics of “Ranking Web of World Universities” announced by Webometrics in January 2009, TKU was ranked as No. 491 in world ranking, No. 50 in Asia, No. 10 in Taiwan. TKU keeps occupying the first position among private universities of Taiwan, and becomes the first private Taiwan university to be counted among the top 500 world universities.
</w:t>
          <w:br/>
          <w:t>
</w:t>
          <w:br/>
          <w:t>President C. I. Chang remarks that though TKU has progress generally, the other universities have made progresses in diverse aspects. Hence she expects the staffs to create more active measures in response to the indicators listed on the four key items.
</w:t>
          <w:br/>
          <w:t>
</w:t>
          <w:br/>
          <w:t>In addition to the evaluation of the quantity and quality of faculty and publication, the Webometrics’s ranking system will remark on four key indicators—the “size” of webpages, the “visibility” of webpages, the quantity of academic “rich files,” and quantity of “scholar” cited in Google Scholar. TKU’s webpage “Size” drops from No. 390 to No. 461. “Visibility” moves from No. 607 to No. 563. The performance in producing “Rich files” progresses from No. 907 to No. 806. “Scholar” citation drops from No. 512 to No. 550.
</w:t>
          <w:br/>
          <w:t>
</w:t>
          <w:br/>
          <w:t>Dr. Chen Kan-nan, Vice President for Academic Affairs, remarks on the progress in “rich files” item that it would be attributed to the change in school’s awarding regulation for publication—by reducing the difference between category one and category two, the faculty’s research incentive is increased. In addition, the “Eight Year Promotion Deadline Regulation” also pushes the newly recruited teachers and promising young scholars to increase the efficiency of their publication. In addition, in order to facilitate the younger teachers, the school also funds “Key Research Projects” and organizes forums to share experience with experienced professors. Vice President Chen adds that the upgrading of the quality and quantity of publication takes a long time to accumulate research energy. The school will modify timely measures to meet the requirement of the academic trend and motivate the creativity of the faculty. 
</w:t>
          <w:br/>
          <w:t>
</w:t>
          <w:br/>
          <w:t>Dr. Hwang Ming-tar, Director of Information processing Center, attributes the rise of webpage “visibility” to the setting of multiple language versions of the school websites and webpages and the links to websites of TKU’s sister schools. He expects TKU teachers to make good use of the Teaching Resources Platform to distribute and share teaching materials in the user-friendly document formats. Dr. Hwang also indicates that the school emphasizes not only the ranking order but also the usability and visibility of TKU’s academic publications. He has proposed more practical measures to upgrade and diversify our school websites in the hope to raise our record in the next review. ( ~Chen Chi-szu)</w:t>
          <w:br/>
        </w:r>
      </w:r>
    </w:p>
  </w:body>
</w:document>
</file>