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3bc3db5f614e4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750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更正啟事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報第749期之柯氏憂鬱量表相關報導，圖表「本校96與97學年度各學院柯氏憂鬱指數高分組分布」誤植為「本校96與97學年度各學院柯氏憂鬱指數」，謹此致歉。本校97學年度各學院柯氏憂鬱指數，各學院高分組分別為文學院12.58％、理學院13.89％、工學院10.98％、商學院11.29％、管理學院12.05％、外語學院10.91％、教育學院5.56％、創業發展學院8.33％、全球化研究發展學院15.25％。</w:t>
          <w:br/>
        </w:r>
      </w:r>
    </w:p>
  </w:body>
</w:document>
</file>