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16e3c6303784fe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756 期</w:t>
        </w:r>
      </w:r>
    </w:p>
    <w:p>
      <w:pPr>
        <w:jc w:val="center"/>
      </w:pPr>
      <w:r>
        <w:r>
          <w:rPr>
            <w:rFonts w:ascii="Segoe UI" w:hAnsi="Segoe UI" w:eastAsia="Segoe UI"/>
            <w:sz w:val="32"/>
            <w:color w:val="000000"/>
            <w:b/>
          </w:rPr>
          <w:t>TAMKANG REVIEW WON RECOGNATION BY NSC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Review published by the Department of English, COFLAL and some other international journals by Taiwan University, Taiwan Normal University, Academia Sinica, etc. were honored as 2009 THCI Core journals by the Center for Humanities Research, NSC. The Dean of COFLAL and Editor-in-Chief Mei-hwa Sung informed that Tamkang Review was established by Professors Li-min Chu, Yuan-shu Yen and others in April 1970. It is the oldest academic journal in English in Taiwan and its contribution to comparative literature and foreign literature research is outstanding. The selection by the NSC has affirmed its reviewing system which has fairly high quality control. Dean Sung said, “We’ll strengthen further development of the journal, and our final target is to return to the A&amp;amp;HCI journal list.” ( ~Dean X. Wang )</w:t>
          <w:br/>
        </w:r>
      </w:r>
    </w:p>
  </w:body>
</w:document>
</file>