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a8faa767746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深耕在地能力 數位教育創意教學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教育學院院長高熏芳
</w:t>
          <w:br/>
          <w:t>
</w:t>
          <w:br/>
          <w:t>  針對本校教育因應國際化、資訊化、未來化三化，教育學院提出研究及分析：全球視野的發展、在地能力的深耕、未來圖像的創建。
</w:t>
          <w:br/>
          <w:t>　全球視野的發展：根據「大三學生出國研習學習獲得與學習適應問題之研究」顯示，本校出國學生在「學習獲得」項目中，以「自我成長與暸解不同文化」有較佳的表現；而在「學習適應」中，語言能力的調適在經過環境的改變有較好的改善，反而是心理層面的適應不夠穩定。對此，本院提出著重提升學生外語能力的教學、出國前提供完備的資訊等方案，並持續關注學生在國外的生活現況，了解學生適應情形並解決困難。
</w:t>
          <w:br/>
          <w:t>　在地能力的深耕：二十一世紀的教學與學習，面對科技的衝擊，教師在教學與學習環境上需要什麼樣的改變？本組討論的結果，對於學生要進行長期關注：資訊搜尋與整合能力的養成、數位公民素養能力養成、宅學習所產生的社會化問題。而教師應提升使用科技技術之能力、課程融合科技學習的思考、數位教育在創意教學上之策略。隨著科技日新月異，在學習環境及教師專業上都應因應科技，本校現有的教學科技平台、軟體上，也應該要跟上時代腳步、升級，以達到更高的使用效益。
</w:t>
          <w:br/>
          <w:t>　未來圖像的創見：面對百年大校，本校僅是「年輕人」，我們應期許自己有更多的能量去教育，要達到本校第五波的目標，就要有第一波的精深、第二波的努力、第三波的苦幹、第四波的創新，才能在下一個六十年虛心、踏實、不斷學習。（陳頤華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85088"/>
              <wp:effectExtent l="0" t="0" r="0" b="0"/>
              <wp:docPr id="1" name="IMG_162aa6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70c3f2bc-8720-4543-9e7b-a16d628792ff.jpg"/>
                      <pic:cNvPicPr/>
                    </pic:nvPicPr>
                    <pic:blipFill>
                      <a:blip xmlns:r="http://schemas.openxmlformats.org/officeDocument/2006/relationships" r:embed="R24a18c7db5dd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a18c7db5dd4b54" /></Relationships>
</file>