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7955ab8c5b46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WENZHOU UNIVERSITY EXPECTED TO EXCHANGE STUDENTS WITH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Leading a delegation of 4, the President of Wenzhou University in Zhejiang Province Yuan-qiang Tsai visited TKU on Dec. 8. TKU President Flora C.I. Chang, International Affairs Vice President Wan-chin Tai, the Director of the Office of International Exchanges and International Education Pei-wha Lee, the Dean of the College of Management Chu-ching Wang and the Chair of Electrical Engineering Ching-chang Wong and others received the delegation and gave bulletin briefings at Ching-sheng International Conference Hall, discussing issues such as student exchanges.　
</w:t>
          <w:br/>
          <w:t> 
</w:t>
          <w:br/>
          <w:t>Wenzhou University is well-know in liberal arts and business areas. President Tsai smilingly said, “We encourage students to have work-terms with enterprises, and our students like to establish their own businesses.” He praised the high-level education at TKU, hoping to have student exchanges and deeper cooperation in teaching and curriculum development. TKU Vice President Tai expressed that TKU would try to coordinate. EMBA faculty and students could have further exchanges, and TKU faculty and students would also go to Wenzhou University to give lectures and study.( ~Dean X. Wang )</w:t>
          <w:br/>
        </w:r>
      </w:r>
    </w:p>
  </w:body>
</w:document>
</file>