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18700f4da244ec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776 期</w:t>
        </w:r>
      </w:r>
    </w:p>
    <w:p>
      <w:pPr>
        <w:jc w:val="center"/>
      </w:pPr>
      <w:r>
        <w:r>
          <w:rPr>
            <w:rFonts w:ascii="Segoe UI" w:hAnsi="Segoe UI" w:eastAsia="Segoe UI"/>
            <w:sz w:val="32"/>
            <w:color w:val="000000"/>
            <w:b/>
          </w:rPr>
          <w:t>DIVISION OF CONTINUING EDUCATION HELD STUDY TOUR FOR JAPANESE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Division of Continuing Education and Asia Pacific Intellectual Property Protection Association co-held a one-week studying tour, which 14 people from Japan took part in. Members of the studying tour not only had Chinese class, Taiwanese history class, and calligraphy class, which was taught by Dr. Chang Ben-hang, Associate Director of Carrie Chang Fine Arts Center and Director of Calligraphy Laboratory, but also visited Tamsui, Peitou, and Taipei historic sites. To experience Taiwanese culture and characteristics, they ate a lot of special food of Taiwan, and enjoyed a great relaxing acupressure, too. The short tour ended on Jan. 22nd, and Mr. Hsu Shui-teh, the ex-President of Examination Yuan and ex-Representative, Taipei Economic and Cultural Representative Office in Japan, participated in the ending ceremony. He expected the organizers and study tour members could have more mutual communication to increase the friendship between the two countries. ( ~Shu-chun Yen )</w:t>
          <w:br/>
        </w:r>
      </w:r>
    </w:p>
  </w:body>
</w:document>
</file>